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59B9" w14:textId="77777777" w:rsidR="003058B0" w:rsidRPr="006A1F37" w:rsidRDefault="003058B0" w:rsidP="003058B0"/>
    <w:p w14:paraId="24B4F78F" w14:textId="77777777" w:rsidR="003058B0" w:rsidRPr="006A1F37" w:rsidRDefault="003058B0" w:rsidP="003058B0"/>
    <w:p w14:paraId="4D89EB69" w14:textId="77777777" w:rsidR="003058B0" w:rsidRPr="006A1F37" w:rsidRDefault="003058B0" w:rsidP="003058B0"/>
    <w:p w14:paraId="3F18F968" w14:textId="1346BD3E" w:rsidR="003058B0" w:rsidRPr="006A1F37" w:rsidRDefault="003058B0" w:rsidP="003058B0">
      <w:pPr>
        <w:jc w:val="center"/>
        <w:rPr>
          <w:b/>
          <w:sz w:val="36"/>
          <w:szCs w:val="36"/>
        </w:rPr>
      </w:pPr>
      <w:r w:rsidRPr="006A1F37">
        <w:rPr>
          <w:b/>
          <w:sz w:val="36"/>
          <w:szCs w:val="36"/>
        </w:rPr>
        <w:t>Social Network</w:t>
      </w:r>
      <w:r w:rsidR="00387A0C">
        <w:rPr>
          <w:b/>
          <w:sz w:val="36"/>
          <w:szCs w:val="36"/>
        </w:rPr>
        <w:t xml:space="preserve"> Disagreement</w:t>
      </w:r>
      <w:r w:rsidRPr="006A1F37">
        <w:rPr>
          <w:b/>
          <w:sz w:val="36"/>
          <w:szCs w:val="36"/>
        </w:rPr>
        <w:t xml:space="preserve"> and Reasoned Candidate Preferences</w:t>
      </w:r>
    </w:p>
    <w:p w14:paraId="3C24D197" w14:textId="77777777" w:rsidR="003058B0" w:rsidRPr="006A1F37" w:rsidRDefault="003058B0" w:rsidP="003058B0">
      <w:pPr>
        <w:jc w:val="center"/>
        <w:rPr>
          <w:sz w:val="28"/>
          <w:szCs w:val="28"/>
        </w:rPr>
      </w:pPr>
      <w:r w:rsidRPr="006A1F37">
        <w:rPr>
          <w:sz w:val="28"/>
          <w:szCs w:val="28"/>
        </w:rPr>
        <w:t>Pierce D. Ekstrom</w:t>
      </w:r>
      <w:r w:rsidRPr="006A1F37">
        <w:rPr>
          <w:rStyle w:val="FootnoteReference"/>
          <w:sz w:val="28"/>
          <w:szCs w:val="28"/>
        </w:rPr>
        <w:footnoteReference w:id="2"/>
      </w:r>
      <w:r w:rsidRPr="006A1F37">
        <w:rPr>
          <w:sz w:val="28"/>
          <w:szCs w:val="28"/>
        </w:rPr>
        <w:t>, Brianna A. Smith</w:t>
      </w:r>
      <w:r w:rsidRPr="006A1F37">
        <w:rPr>
          <w:rStyle w:val="FootnoteReference"/>
          <w:sz w:val="28"/>
          <w:szCs w:val="28"/>
        </w:rPr>
        <w:footnoteReference w:id="3"/>
      </w:r>
      <w:r w:rsidRPr="006A1F37">
        <w:rPr>
          <w:sz w:val="28"/>
          <w:szCs w:val="28"/>
        </w:rPr>
        <w:t>, Allison L. Williams</w:t>
      </w:r>
      <w:r w:rsidRPr="006A1F37">
        <w:rPr>
          <w:rStyle w:val="FootnoteReference"/>
          <w:sz w:val="28"/>
          <w:szCs w:val="28"/>
        </w:rPr>
        <w:footnoteReference w:id="4"/>
      </w:r>
      <w:r w:rsidRPr="006A1F37">
        <w:rPr>
          <w:sz w:val="28"/>
          <w:szCs w:val="28"/>
        </w:rPr>
        <w:t>, Hannah Kim</w:t>
      </w:r>
      <w:r w:rsidRPr="006A1F37">
        <w:rPr>
          <w:rStyle w:val="FootnoteReference"/>
          <w:sz w:val="28"/>
          <w:szCs w:val="28"/>
        </w:rPr>
        <w:footnoteReference w:id="5"/>
      </w:r>
    </w:p>
    <w:p w14:paraId="6B895A48" w14:textId="77777777" w:rsidR="003058B0" w:rsidRPr="006A1F37" w:rsidRDefault="003058B0" w:rsidP="003058B0">
      <w:pPr>
        <w:jc w:val="center"/>
        <w:rPr>
          <w:sz w:val="28"/>
          <w:szCs w:val="28"/>
        </w:rPr>
      </w:pPr>
    </w:p>
    <w:p w14:paraId="0F59607D" w14:textId="77777777" w:rsidR="003058B0" w:rsidRPr="006A1F37" w:rsidRDefault="003058B0" w:rsidP="003058B0">
      <w:pPr>
        <w:jc w:val="center"/>
        <w:rPr>
          <w:sz w:val="28"/>
          <w:szCs w:val="28"/>
        </w:rPr>
      </w:pPr>
    </w:p>
    <w:p w14:paraId="72D75746" w14:textId="77777777" w:rsidR="003058B0" w:rsidRPr="006A1F37" w:rsidRDefault="003058B0" w:rsidP="003058B0">
      <w:pPr>
        <w:jc w:val="center"/>
        <w:rPr>
          <w:sz w:val="28"/>
          <w:szCs w:val="28"/>
        </w:rPr>
      </w:pPr>
    </w:p>
    <w:p w14:paraId="4A3C1DA7" w14:textId="77777777" w:rsidR="003058B0" w:rsidRPr="006A1F37" w:rsidRDefault="003058B0" w:rsidP="003058B0">
      <w:pPr>
        <w:jc w:val="center"/>
        <w:rPr>
          <w:sz w:val="28"/>
          <w:szCs w:val="28"/>
        </w:rPr>
      </w:pPr>
    </w:p>
    <w:p w14:paraId="7F4A6801" w14:textId="77777777" w:rsidR="003058B0" w:rsidRPr="006A1F37" w:rsidRDefault="003058B0" w:rsidP="003058B0">
      <w:pPr>
        <w:jc w:val="center"/>
        <w:rPr>
          <w:b/>
        </w:rPr>
      </w:pPr>
      <w:r w:rsidRPr="006A1F37">
        <w:rPr>
          <w:b/>
        </w:rPr>
        <w:t>Abstract</w:t>
      </w:r>
    </w:p>
    <w:p w14:paraId="4BDFCE2D" w14:textId="7389C437" w:rsidR="0061502F" w:rsidRDefault="0061502F" w:rsidP="0061502F">
      <w:pPr>
        <w:shd w:val="clear" w:color="auto" w:fill="FFFFFF"/>
        <w:spacing w:after="0"/>
        <w:contextualSpacing/>
        <w:rPr>
          <w:rFonts w:eastAsia="Times New Roman"/>
          <w:color w:val="222222"/>
          <w:lang w:eastAsia="ko-KR"/>
        </w:rPr>
      </w:pPr>
      <w:r>
        <w:rPr>
          <w:rFonts w:eastAsia="Times New Roman"/>
          <w:color w:val="222222"/>
          <w:lang w:eastAsia="ko-KR"/>
        </w:rPr>
        <w:t xml:space="preserve">This study investigates the effects of social network disagreement on candidate </w:t>
      </w:r>
      <w:r w:rsidR="008B528A">
        <w:rPr>
          <w:rFonts w:eastAsia="Times New Roman"/>
          <w:color w:val="222222"/>
          <w:lang w:eastAsia="ko-KR"/>
        </w:rPr>
        <w:t>preferences</w:t>
      </w:r>
      <w:r>
        <w:rPr>
          <w:rFonts w:eastAsia="Times New Roman"/>
          <w:color w:val="222222"/>
          <w:lang w:eastAsia="ko-KR"/>
        </w:rPr>
        <w:t xml:space="preserve">. Although much research has explored </w:t>
      </w:r>
      <w:r w:rsidR="008025F1">
        <w:rPr>
          <w:rFonts w:eastAsia="Times New Roman"/>
          <w:color w:val="222222"/>
          <w:lang w:eastAsia="ko-KR"/>
        </w:rPr>
        <w:t>the</w:t>
      </w:r>
      <w:r>
        <w:rPr>
          <w:rFonts w:eastAsia="Times New Roman"/>
          <w:color w:val="222222"/>
          <w:lang w:eastAsia="ko-KR"/>
        </w:rPr>
        <w:t xml:space="preserve"> effects of disagreement on political </w:t>
      </w:r>
      <w:r w:rsidR="008025F1">
        <w:rPr>
          <w:rFonts w:eastAsia="Times New Roman"/>
          <w:color w:val="222222"/>
          <w:lang w:eastAsia="ko-KR"/>
        </w:rPr>
        <w:t>tolerance and disengagement</w:t>
      </w:r>
      <w:r>
        <w:rPr>
          <w:rFonts w:eastAsia="Times New Roman"/>
          <w:color w:val="222222"/>
          <w:lang w:eastAsia="ko-KR"/>
        </w:rPr>
        <w:t xml:space="preserve">, less work has </w:t>
      </w:r>
      <w:r w:rsidR="008025F1">
        <w:rPr>
          <w:rFonts w:eastAsia="Times New Roman"/>
          <w:color w:val="222222"/>
          <w:lang w:eastAsia="ko-KR"/>
        </w:rPr>
        <w:t>examined the relation between</w:t>
      </w:r>
      <w:r>
        <w:rPr>
          <w:rFonts w:eastAsia="Times New Roman"/>
          <w:color w:val="222222"/>
          <w:lang w:eastAsia="ko-KR"/>
        </w:rPr>
        <w:t xml:space="preserve"> disagreement </w:t>
      </w:r>
      <w:r w:rsidR="008025F1">
        <w:rPr>
          <w:rFonts w:eastAsia="Times New Roman"/>
          <w:color w:val="222222"/>
          <w:lang w:eastAsia="ko-KR"/>
        </w:rPr>
        <w:t>and political reasoning</w:t>
      </w:r>
      <w:r>
        <w:rPr>
          <w:rFonts w:eastAsia="Times New Roman"/>
          <w:color w:val="222222"/>
          <w:lang w:eastAsia="ko-KR"/>
        </w:rPr>
        <w:t xml:space="preserve">. We predicted that because disagreement reveals conflicting points of view and motivates people to consider these views, it should promote more effortful reasoning—and thus increased reliance on policy preferences and decreased reliance on party identification when choosing between candidates. Using panel data from the 2008 and 2012 U.S. Presidential elections, we find that respondents in high-disagreement networks tend to shift their </w:t>
      </w:r>
      <w:r w:rsidR="008025F1">
        <w:rPr>
          <w:rFonts w:eastAsia="Times New Roman"/>
          <w:color w:val="222222"/>
          <w:lang w:eastAsia="ko-KR"/>
        </w:rPr>
        <w:t>candidate preferences</w:t>
      </w:r>
      <w:r>
        <w:rPr>
          <w:rFonts w:eastAsia="Times New Roman"/>
          <w:color w:val="222222"/>
          <w:lang w:eastAsia="ko-KR"/>
        </w:rPr>
        <w:t xml:space="preserve"> to align with their policy preferences regardless of their party identification. In low-disagreement networks, respondents tended to follow party over policy. In sum, the determinants of </w:t>
      </w:r>
      <w:r w:rsidR="008B528A">
        <w:rPr>
          <w:rFonts w:eastAsia="Times New Roman"/>
          <w:color w:val="222222"/>
          <w:lang w:eastAsia="ko-KR"/>
        </w:rPr>
        <w:t>candidate preferences</w:t>
      </w:r>
      <w:r>
        <w:rPr>
          <w:rFonts w:eastAsia="Times New Roman"/>
          <w:color w:val="222222"/>
          <w:lang w:eastAsia="ko-KR"/>
        </w:rPr>
        <w:t xml:space="preserve"> differ depending on individuals’ social networks. In some cases, disagreement may promote more normatively desirable political decision-making.</w:t>
      </w:r>
    </w:p>
    <w:p w14:paraId="5BA41848" w14:textId="77777777" w:rsidR="003058B0" w:rsidRPr="006A1F37" w:rsidRDefault="003058B0" w:rsidP="003058B0">
      <w:pPr>
        <w:shd w:val="clear" w:color="auto" w:fill="FFFFFF"/>
        <w:spacing w:after="0"/>
        <w:contextualSpacing/>
        <w:rPr>
          <w:rFonts w:eastAsia="Times New Roman"/>
          <w:color w:val="222222"/>
          <w:lang w:eastAsia="ko-KR"/>
        </w:rPr>
      </w:pPr>
    </w:p>
    <w:p w14:paraId="414456D3" w14:textId="77777777" w:rsidR="003058B0" w:rsidRPr="006A1F37" w:rsidRDefault="003058B0" w:rsidP="003058B0">
      <w:pPr>
        <w:contextualSpacing/>
      </w:pPr>
      <w:r w:rsidRPr="006A1F37">
        <w:rPr>
          <w:b/>
        </w:rPr>
        <w:t>Keywords:</w:t>
      </w:r>
      <w:r w:rsidRPr="006A1F37">
        <w:t xml:space="preserve"> Social networks, Disagreement, Candidate preferences, Voting behavior </w:t>
      </w:r>
    </w:p>
    <w:p w14:paraId="75C3C03B" w14:textId="77777777" w:rsidR="003058B0" w:rsidRPr="006A1F37" w:rsidRDefault="003058B0" w:rsidP="003058B0">
      <w:pPr>
        <w:contextualSpacing/>
        <w:rPr>
          <w:b/>
        </w:rPr>
      </w:pPr>
    </w:p>
    <w:p w14:paraId="71B280A1" w14:textId="5A0F8244" w:rsidR="003058B0" w:rsidRPr="006A1F37" w:rsidRDefault="003058B0" w:rsidP="003058B0">
      <w:pPr>
        <w:contextualSpacing/>
        <w:sectPr w:rsidR="003058B0" w:rsidRPr="006A1F37">
          <w:footerReference w:type="default" r:id="rId8"/>
          <w:headerReference w:type="first" r:id="rId9"/>
          <w:footnotePr>
            <w:numFmt w:val="lowerLetter"/>
          </w:footnotePr>
          <w:pgSz w:w="12240" w:h="15840"/>
          <w:pgMar w:top="1440" w:right="1440" w:bottom="1440" w:left="1440" w:header="720" w:footer="720" w:gutter="0"/>
          <w:cols w:space="720"/>
          <w:docGrid w:linePitch="360"/>
        </w:sectPr>
      </w:pPr>
      <w:r w:rsidRPr="006A1F37">
        <w:rPr>
          <w:b/>
        </w:rPr>
        <w:t xml:space="preserve">Word Count: </w:t>
      </w:r>
      <w:r w:rsidR="00387A0C">
        <w:t>5,759</w:t>
      </w:r>
    </w:p>
    <w:p w14:paraId="67FDA196" w14:textId="7CFF3067" w:rsidR="003058B0" w:rsidRPr="006A1F37" w:rsidRDefault="003058B0" w:rsidP="003058B0">
      <w:pPr>
        <w:jc w:val="center"/>
      </w:pPr>
      <w:r w:rsidRPr="006A1F37">
        <w:lastRenderedPageBreak/>
        <w:t>Social Network</w:t>
      </w:r>
      <w:r w:rsidR="00387A0C">
        <w:t xml:space="preserve"> Disagreement</w:t>
      </w:r>
      <w:r w:rsidRPr="006A1F37">
        <w:t xml:space="preserve"> and Reasoned Candidate Preferences</w:t>
      </w:r>
    </w:p>
    <w:p w14:paraId="5D7EFF8A" w14:textId="58EBA658" w:rsidR="006C0C2E" w:rsidRDefault="003058B0" w:rsidP="003058B0">
      <w:pPr>
        <w:spacing w:line="480" w:lineRule="auto"/>
        <w:contextualSpacing/>
      </w:pPr>
      <w:r w:rsidRPr="006A1F37">
        <w:tab/>
        <w:t>Although the act of voting is relatively solitary, the decision it represents is very much a social one</w:t>
      </w:r>
      <w:r w:rsidR="00FB4B8C">
        <w:t>, with implications for the groups and coalitions that the candidates represent and for the policies that govern society as a whole. C</w:t>
      </w:r>
      <w:r w:rsidRPr="006A1F37">
        <w:t xml:space="preserve">itizens’ votes reflect their thoughts and opinions in the context of the people who surround them. </w:t>
      </w:r>
      <w:r w:rsidR="00FB4B8C">
        <w:t>Recognizing this fact</w:t>
      </w:r>
      <w:r w:rsidRPr="006A1F37">
        <w:t xml:space="preserve">, a growing body of research has explored the role of social networks in political reasoning and behavior. </w:t>
      </w:r>
      <w:r w:rsidR="004B5800">
        <w:t xml:space="preserve">Much of this </w:t>
      </w:r>
      <w:r w:rsidR="007A2CC4">
        <w:t xml:space="preserve">research </w:t>
      </w:r>
      <w:r w:rsidR="004B5800">
        <w:t>has explored the effects</w:t>
      </w:r>
      <w:r w:rsidR="007A2CC4">
        <w:t>—some salutary, some troubling—</w:t>
      </w:r>
      <w:r w:rsidR="004B5800">
        <w:t>of political disagreement within a network of close friends and family</w:t>
      </w:r>
      <w:r w:rsidR="007A2CC4">
        <w:t>. On the one hand, disagreement has been found to predict greater tolerance for political opponents and their views</w:t>
      </w:r>
      <w:r w:rsidR="004B5800">
        <w:t xml:space="preserve"> </w:t>
      </w:r>
      <w:r w:rsidR="007A2CC4">
        <w:t>(Mutz, 2002a, 2006) and to help individuals accumulate larger and more even-handed stores of political information (</w:t>
      </w:r>
      <w:proofErr w:type="spellStart"/>
      <w:r w:rsidR="007A2CC4">
        <w:t>Huckfe</w:t>
      </w:r>
      <w:r w:rsidR="00387A0C">
        <w:t>ld</w:t>
      </w:r>
      <w:r w:rsidR="007A2CC4">
        <w:t>t</w:t>
      </w:r>
      <w:proofErr w:type="spellEnd"/>
      <w:r w:rsidR="007A2CC4">
        <w:t xml:space="preserve">, Johnson, &amp; Sprague, 2004). On the other hand, </w:t>
      </w:r>
      <w:r w:rsidR="002849B0">
        <w:t xml:space="preserve">disagreement has been found to predict political disengagement (Mutz, 2002b, 2006)—though some investigations </w:t>
      </w:r>
      <w:r w:rsidR="00696FC0">
        <w:t>have suggested that this relation depends critically on other factors (</w:t>
      </w:r>
      <w:proofErr w:type="spellStart"/>
      <w:r w:rsidR="00696FC0">
        <w:t>H</w:t>
      </w:r>
      <w:r w:rsidR="00AF4701">
        <w:t>uckfeldt</w:t>
      </w:r>
      <w:proofErr w:type="spellEnd"/>
      <w:r w:rsidR="00AF4701">
        <w:t>, Mendez, &amp; Osborne</w:t>
      </w:r>
      <w:r w:rsidR="00696FC0">
        <w:t>, 2004; McClurg, 2006).</w:t>
      </w:r>
    </w:p>
    <w:p w14:paraId="082CF680" w14:textId="2DD70ED1" w:rsidR="003058B0" w:rsidRDefault="003058B0" w:rsidP="00696FC0">
      <w:pPr>
        <w:spacing w:line="480" w:lineRule="auto"/>
        <w:ind w:firstLine="720"/>
        <w:contextualSpacing/>
      </w:pPr>
      <w:r w:rsidRPr="006A1F37">
        <w:t>In the current study</w:t>
      </w:r>
      <w:r w:rsidR="00696FC0">
        <w:t xml:space="preserve">, we explore another normative consequence of political disagreement—the depth and quality of individuals’ political reasoning (see </w:t>
      </w:r>
      <w:proofErr w:type="spellStart"/>
      <w:r w:rsidR="00696FC0">
        <w:t>Erisen</w:t>
      </w:r>
      <w:proofErr w:type="spellEnd"/>
      <w:r w:rsidR="00696FC0">
        <w:t xml:space="preserve"> &amp; </w:t>
      </w:r>
      <w:proofErr w:type="spellStart"/>
      <w:r w:rsidR="00696FC0">
        <w:t>Erisen</w:t>
      </w:r>
      <w:proofErr w:type="spellEnd"/>
      <w:r w:rsidR="00696FC0">
        <w:t>, 2012).</w:t>
      </w:r>
      <w:r w:rsidRPr="006A1F37">
        <w:t xml:space="preserve"> Specifically, we examine whether the relative impact of party identification and policy preferences on candidate </w:t>
      </w:r>
      <w:r w:rsidR="0077257F">
        <w:t>preferences</w:t>
      </w:r>
      <w:r w:rsidRPr="006A1F37">
        <w:t xml:space="preserve"> depends on the extent to which voters experience disagreement within their social networks. </w:t>
      </w:r>
      <w:r w:rsidR="00BE18D1" w:rsidRPr="006A1F37">
        <w:t>When voters are surrounded by like-minded others</w:t>
      </w:r>
      <w:r w:rsidRPr="006A1F37">
        <w:t>,</w:t>
      </w:r>
      <w:r w:rsidR="00BB2E13">
        <w:t xml:space="preserve"> </w:t>
      </w:r>
      <w:r w:rsidRPr="006A1F37">
        <w:t xml:space="preserve">we expect party allegiance to dominate candidate </w:t>
      </w:r>
      <w:r w:rsidR="0077257F">
        <w:t>preferences</w:t>
      </w:r>
      <w:r w:rsidRPr="006A1F37">
        <w:t xml:space="preserve">; however, we predict that those voters who experience frequent or intense political disagreement with close others will give more weight to their policy preferences and less to their party </w:t>
      </w:r>
      <w:r w:rsidR="0077257F">
        <w:t>identification</w:t>
      </w:r>
      <w:r w:rsidRPr="006A1F37">
        <w:t xml:space="preserve"> when choosing between candidates. We ground this prediction in existing research</w:t>
      </w:r>
      <w:r w:rsidR="00781E15" w:rsidRPr="006A1F37">
        <w:t xml:space="preserve"> that </w:t>
      </w:r>
      <w:r w:rsidRPr="006A1F37">
        <w:t xml:space="preserve">suggests that policy voting is </w:t>
      </w:r>
      <w:r w:rsidRPr="006A1F37">
        <w:lastRenderedPageBreak/>
        <w:t>more cognitively d</w:t>
      </w:r>
      <w:r w:rsidR="00836449" w:rsidRPr="006A1F37">
        <w:t xml:space="preserve">emanding than party-line voting </w:t>
      </w:r>
      <w:r w:rsidRPr="006A1F37">
        <w:t xml:space="preserve">and that network disagreement tends to create conditions that facilitate more in-depth, elaborate cognitive processing.  </w:t>
      </w:r>
    </w:p>
    <w:p w14:paraId="27926E3C" w14:textId="25202B02" w:rsidR="00FB4B8C" w:rsidRPr="006A1F37" w:rsidRDefault="00FB4B8C" w:rsidP="008338AC">
      <w:pPr>
        <w:spacing w:line="480" w:lineRule="auto"/>
        <w:contextualSpacing/>
        <w:rPr>
          <w:b/>
        </w:rPr>
      </w:pPr>
      <w:r>
        <w:rPr>
          <w:b/>
        </w:rPr>
        <w:t>Defining Disagreement</w:t>
      </w:r>
    </w:p>
    <w:p w14:paraId="1EC20480" w14:textId="0F1ABC3F" w:rsidR="00403B71" w:rsidRDefault="00FB4B8C" w:rsidP="00FB4B8C">
      <w:pPr>
        <w:spacing w:line="480" w:lineRule="auto"/>
        <w:ind w:firstLine="720"/>
        <w:contextualSpacing/>
      </w:pPr>
      <w:r w:rsidRPr="006A1F37">
        <w:t>Researchers have examined many different forms of “disagreement.</w:t>
      </w:r>
      <w:r w:rsidR="00357A65">
        <w:t>”</w:t>
      </w:r>
      <w:r w:rsidRPr="006A1F37">
        <w:t xml:space="preserve"> </w:t>
      </w:r>
      <w:r w:rsidR="00B10C03">
        <w:t xml:space="preserve">We here focus on individuals’ </w:t>
      </w:r>
      <w:r w:rsidR="00B10C03">
        <w:rPr>
          <w:i/>
        </w:rPr>
        <w:t>subject</w:t>
      </w:r>
      <w:r w:rsidR="00357A65">
        <w:rPr>
          <w:i/>
        </w:rPr>
        <w:t>ive</w:t>
      </w:r>
      <w:r w:rsidR="00B10C03">
        <w:rPr>
          <w:i/>
        </w:rPr>
        <w:t xml:space="preserve"> experience of </w:t>
      </w:r>
      <w:r w:rsidR="00B10C03" w:rsidRPr="00B10C03">
        <w:rPr>
          <w:i/>
        </w:rPr>
        <w:t>disagreement</w:t>
      </w:r>
      <w:r w:rsidR="00B10C03">
        <w:rPr>
          <w:i/>
        </w:rPr>
        <w:t xml:space="preserve"> with close others</w:t>
      </w:r>
      <w:r w:rsidR="00357A65">
        <w:t xml:space="preserve">—how often and how intensely people </w:t>
      </w:r>
      <w:r w:rsidR="00285CB1">
        <w:t>debate</w:t>
      </w:r>
      <w:r w:rsidR="00357A65">
        <w:t xml:space="preserve"> politics with those they care about</w:t>
      </w:r>
      <w:r w:rsidR="00683A81">
        <w:t xml:space="preserve">. At one extreme, individuals in </w:t>
      </w:r>
      <w:r w:rsidR="00683A81">
        <w:rPr>
          <w:i/>
        </w:rPr>
        <w:t>hig</w:t>
      </w:r>
      <w:r w:rsidR="00683A81" w:rsidRPr="00683A81">
        <w:rPr>
          <w:i/>
        </w:rPr>
        <w:t>h-disagreement</w:t>
      </w:r>
      <w:r w:rsidR="00683A81">
        <w:t xml:space="preserve"> networks</w:t>
      </w:r>
      <w:r w:rsidR="005A0FC7">
        <w:t xml:space="preserve"> feel that they</w:t>
      </w:r>
      <w:r w:rsidR="00683A81">
        <w:t xml:space="preserve"> routinely encounter challenges to their political views. At the other extreme, individuals in </w:t>
      </w:r>
      <w:r w:rsidR="00683A81">
        <w:rPr>
          <w:i/>
        </w:rPr>
        <w:t xml:space="preserve">low-disagreement </w:t>
      </w:r>
      <w:r w:rsidR="00683A81">
        <w:t xml:space="preserve">networks </w:t>
      </w:r>
      <w:r w:rsidR="005A0FC7">
        <w:t xml:space="preserve">perceive </w:t>
      </w:r>
      <w:r w:rsidR="00683A81">
        <w:t xml:space="preserve">no such challenges, </w:t>
      </w:r>
      <w:r w:rsidR="00403B71">
        <w:t>and likely find active affirmation for their views among their discussants</w:t>
      </w:r>
      <w:r w:rsidR="00B10C03">
        <w:t>.</w:t>
      </w:r>
    </w:p>
    <w:p w14:paraId="379BCE50" w14:textId="20422384" w:rsidR="00FB4B8C" w:rsidRPr="006A1F37" w:rsidRDefault="00403B71" w:rsidP="00FB4B8C">
      <w:pPr>
        <w:spacing w:line="480" w:lineRule="auto"/>
        <w:ind w:firstLine="720"/>
        <w:contextualSpacing/>
      </w:pPr>
      <w:r>
        <w:t>T</w:t>
      </w:r>
      <w:r w:rsidR="00B10C03">
        <w:t>his aligns our work with existing research on</w:t>
      </w:r>
      <w:r w:rsidR="00FB4B8C" w:rsidRPr="006A1F37">
        <w:t xml:space="preserve"> “cross-cutting” or attitudinally “incongruent” networks (</w:t>
      </w:r>
      <w:r w:rsidR="00FB4B8C" w:rsidRPr="006A1F37">
        <w:rPr>
          <w:rFonts w:eastAsia="Times New Roman"/>
        </w:rPr>
        <w:t>Huckfeldt, Mendez, &amp; Osborn, 2004</w:t>
      </w:r>
      <w:r w:rsidR="00FB4B8C" w:rsidRPr="006A1F37">
        <w:t>; Mutz, 2002a, 2006</w:t>
      </w:r>
      <w:r>
        <w:t>)</w:t>
      </w:r>
      <w:r w:rsidR="00FB4B8C" w:rsidRPr="006A1F37">
        <w:t>. Other authors have focused on “heterogeneous” networks, whose members hold a diverse range of attitudes</w:t>
      </w:r>
      <w:r>
        <w:t>—essentially, a network-level measure of disagreement rather than an individual one</w:t>
      </w:r>
      <w:r w:rsidR="00FB4B8C" w:rsidRPr="006A1F37">
        <w:t xml:space="preserve"> (e.g., </w:t>
      </w:r>
      <w:proofErr w:type="spellStart"/>
      <w:r w:rsidRPr="006A1F37">
        <w:t>Eveland</w:t>
      </w:r>
      <w:proofErr w:type="spellEnd"/>
      <w:r w:rsidRPr="006A1F37">
        <w:t xml:space="preserve"> &amp; Hively, 2009</w:t>
      </w:r>
      <w:r>
        <w:t xml:space="preserve">; </w:t>
      </w:r>
      <w:r w:rsidR="00FB4B8C" w:rsidRPr="006A1F37">
        <w:t xml:space="preserve">Nir, 2005). </w:t>
      </w:r>
      <w:r>
        <w:t xml:space="preserve">Both high- and low-disagreement networks can be homogeneous. </w:t>
      </w:r>
      <w:r w:rsidR="00FB4B8C" w:rsidRPr="006A1F37">
        <w:t xml:space="preserve">For example, a liberal whose closest friends are all conservative is in a </w:t>
      </w:r>
      <w:r>
        <w:t>relatively homogeneous network.</w:t>
      </w:r>
      <w:r w:rsidR="00FB4B8C" w:rsidRPr="006A1F37">
        <w:t xml:space="preserve"> Because </w:t>
      </w:r>
      <w:r>
        <w:t xml:space="preserve">our emphasis is on </w:t>
      </w:r>
      <w:r w:rsidRPr="00C80D7B">
        <w:rPr>
          <w:i/>
        </w:rPr>
        <w:t>individuals</w:t>
      </w:r>
      <w:r w:rsidR="00C80D7B" w:rsidRPr="00C80D7B">
        <w:rPr>
          <w:i/>
        </w:rPr>
        <w:t>’</w:t>
      </w:r>
      <w:r w:rsidR="00C80D7B">
        <w:t xml:space="preserve"> political decision-making, we </w:t>
      </w:r>
      <w:r>
        <w:t>focus on individuals’ experiences of disagreement rather than network-level diversity</w:t>
      </w:r>
      <w:r w:rsidR="00FB4B8C" w:rsidRPr="006A1F37">
        <w:t>.</w:t>
      </w:r>
    </w:p>
    <w:p w14:paraId="2E0C43D1" w14:textId="59BC106B" w:rsidR="00FB4B8C" w:rsidRPr="00253ED7" w:rsidRDefault="00253ED7" w:rsidP="00B10C03">
      <w:pPr>
        <w:spacing w:line="480" w:lineRule="auto"/>
        <w:ind w:firstLine="720"/>
        <w:contextualSpacing/>
      </w:pPr>
      <w:r>
        <w:t xml:space="preserve">Our </w:t>
      </w:r>
      <w:r w:rsidR="008025F1">
        <w:t xml:space="preserve">focus on individuals’ subjective experience of disagreement </w:t>
      </w:r>
      <w:r>
        <w:t xml:space="preserve">also </w:t>
      </w:r>
      <w:r w:rsidR="008025F1">
        <w:t>aligns our work most closely with existing research</w:t>
      </w:r>
      <w:r>
        <w:t xml:space="preserve"> on perceived</w:t>
      </w:r>
      <w:r w:rsidR="00FB4B8C" w:rsidRPr="006A1F37">
        <w:t xml:space="preserve"> disagreement</w:t>
      </w:r>
      <w:r w:rsidR="00282FA6">
        <w:t xml:space="preserve"> with one’s discussants</w:t>
      </w:r>
      <w:r>
        <w:t xml:space="preserve"> </w:t>
      </w:r>
      <w:r w:rsidR="00FB4B8C" w:rsidRPr="006A1F37">
        <w:t>(</w:t>
      </w:r>
      <w:proofErr w:type="spellStart"/>
      <w:r w:rsidR="00FB4B8C" w:rsidRPr="006A1F37">
        <w:t>Huckfeldt</w:t>
      </w:r>
      <w:proofErr w:type="spellEnd"/>
      <w:r w:rsidR="00FB4B8C" w:rsidRPr="006A1F37">
        <w:t xml:space="preserve"> &amp; Lake, 2000; Huckfeldt &amp; Mendez, 2008; </w:t>
      </w:r>
      <w:r w:rsidR="00FB4B8C" w:rsidRPr="006A1F37">
        <w:rPr>
          <w:rFonts w:eastAsia="Times New Roman"/>
        </w:rPr>
        <w:t>Huckfeldt, Mendez, &amp; Osborn, 2004</w:t>
      </w:r>
      <w:r w:rsidR="00FB4B8C" w:rsidRPr="006A1F37">
        <w:t>; Mutz, 2002a, 2006)</w:t>
      </w:r>
      <w:r>
        <w:t xml:space="preserve">—rather than “objective” </w:t>
      </w:r>
      <w:r w:rsidR="00282FA6">
        <w:t xml:space="preserve">differences between individuals’ </w:t>
      </w:r>
      <w:r w:rsidR="00387A0C">
        <w:t>attitudes</w:t>
      </w:r>
      <w:r w:rsidR="00282FA6">
        <w:t xml:space="preserve"> and their</w:t>
      </w:r>
      <w:r>
        <w:t xml:space="preserve"> discussants’. The two are related </w:t>
      </w:r>
      <w:r w:rsidR="00FB4B8C" w:rsidRPr="006A1F37">
        <w:t xml:space="preserve">(Huckfeldt &amp; Sprague, 1995), </w:t>
      </w:r>
      <w:r>
        <w:t xml:space="preserve">but we don’t expect differences of opinion that </w:t>
      </w:r>
      <w:r>
        <w:lastRenderedPageBreak/>
        <w:t xml:space="preserve">are never voiced or recognized to affect individuals’ political reasoning. Thus, we focus on the disagreement that people </w:t>
      </w:r>
      <w:r>
        <w:rPr>
          <w:i/>
        </w:rPr>
        <w:t>do</w:t>
      </w:r>
      <w:r>
        <w:t xml:space="preserve"> perceive, recall, and report.</w:t>
      </w:r>
    </w:p>
    <w:p w14:paraId="3FF93B68" w14:textId="77777777" w:rsidR="003058B0" w:rsidRPr="006A1F37" w:rsidRDefault="003058B0" w:rsidP="008338AC">
      <w:pPr>
        <w:spacing w:line="480" w:lineRule="auto"/>
        <w:contextualSpacing/>
        <w:rPr>
          <w:b/>
        </w:rPr>
      </w:pPr>
      <w:r w:rsidRPr="006A1F37">
        <w:rPr>
          <w:b/>
        </w:rPr>
        <w:t>Party versus Policy and Cognitive Elaboration</w:t>
      </w:r>
    </w:p>
    <w:p w14:paraId="5768D361" w14:textId="2EBC0BEC" w:rsidR="003058B0" w:rsidRPr="006A1F37" w:rsidRDefault="00687416" w:rsidP="0039346A">
      <w:pPr>
        <w:spacing w:line="480" w:lineRule="auto"/>
        <w:ind w:firstLine="720"/>
        <w:contextualSpacing/>
      </w:pPr>
      <w:r w:rsidRPr="006A1F37">
        <w:t>Partisanship has long been regarded as a simple and efficient, but sometimes flawed, heuristic that citizens can use to infer how well a candidate will represent their interests (Sniderman &amp; Stiglitz, 2012). A candidate’s issue positions, in contrast, provide more direct and precise information about her likely behavior in office, but because issue attitudes require no small amount of cognitive effort to articulate and translate into vote choice, they also represent a much more difficult basis for candidate selection.</w:t>
      </w:r>
      <w:r w:rsidR="00285CB1">
        <w:t xml:space="preserve"> </w:t>
      </w:r>
      <w:r>
        <w:t xml:space="preserve">In psychological terms, the relative influence of party versus policy on candidate evaluation can be viewed as a question of </w:t>
      </w:r>
      <w:r>
        <w:rPr>
          <w:i/>
        </w:rPr>
        <w:t>cognitive elaboration</w:t>
      </w:r>
      <w:r>
        <w:t xml:space="preserve"> (i.e., effortful thought about a topic)</w:t>
      </w:r>
      <w:r w:rsidRPr="00687416">
        <w:t>.</w:t>
      </w:r>
      <w:r>
        <w:t xml:space="preserve"> </w:t>
      </w:r>
      <w:r w:rsidRPr="006A1F37">
        <w:t xml:space="preserve">In general, cognitive elaboration renders people more sensitive to the logical coherence of ideas and less likely to form or change their attitudes on the basis of simple heuristic decision rules (Eagly &amp; Chaiken, 1993). In the context of politics, citizens </w:t>
      </w:r>
      <w:r w:rsidR="0039346A">
        <w:t>who</w:t>
      </w:r>
      <w:r w:rsidRPr="006A1F37">
        <w:t xml:space="preserve"> cognitively elaborate upon political messages and ideas should be more likely to select candidates on the basis of policy preferences and less likely to choose candidates based on shared partisan identity. </w:t>
      </w:r>
      <w:r w:rsidR="003058B0" w:rsidRPr="006A1F37">
        <w:t>According to social-psychological research on attitude change and persuasion, people tend to cognitively elaborate</w:t>
      </w:r>
      <w:r>
        <w:t xml:space="preserve"> </w:t>
      </w:r>
      <w:r w:rsidR="003058B0" w:rsidRPr="006A1F37">
        <w:t xml:space="preserve">when they have the </w:t>
      </w:r>
      <w:r w:rsidR="003058B0" w:rsidRPr="006A1F37">
        <w:rPr>
          <w:i/>
        </w:rPr>
        <w:t>ability</w:t>
      </w:r>
      <w:r w:rsidR="003058B0" w:rsidRPr="006A1F37">
        <w:t xml:space="preserve"> and the </w:t>
      </w:r>
      <w:r w:rsidR="003058B0" w:rsidRPr="006A1F37">
        <w:rPr>
          <w:i/>
        </w:rPr>
        <w:t>motivation</w:t>
      </w:r>
      <w:r w:rsidR="003058B0" w:rsidRPr="006A1F37">
        <w:t xml:space="preserve"> to do so</w:t>
      </w:r>
      <w:r w:rsidR="00781E15" w:rsidRPr="006A1F37">
        <w:t xml:space="preserve"> (Eagly &amp; Chaiken, 1993)</w:t>
      </w:r>
      <w:r w:rsidR="003058B0" w:rsidRPr="006A1F37">
        <w:t xml:space="preserve">. </w:t>
      </w:r>
    </w:p>
    <w:p w14:paraId="79E5AF1C" w14:textId="1ECECED0" w:rsidR="003058B0" w:rsidRPr="006A1F37" w:rsidRDefault="003058B0" w:rsidP="003058B0">
      <w:pPr>
        <w:spacing w:line="480" w:lineRule="auto"/>
        <w:ind w:firstLine="720"/>
        <w:contextualSpacing/>
      </w:pPr>
      <w:r w:rsidRPr="006A1F37">
        <w:t xml:space="preserve">Voters’ knowledge of political information is probably the most important determinant of their </w:t>
      </w:r>
      <w:r w:rsidRPr="006A1F37">
        <w:rPr>
          <w:i/>
        </w:rPr>
        <w:t>ability</w:t>
      </w:r>
      <w:r w:rsidRPr="006A1F37">
        <w:t xml:space="preserve"> to think about politics, and indeed, the more people know, the more likely they are to vote based on their issue positions (Goren, 1997; Kahn &amp; Kenney, 1997). Anxiety</w:t>
      </w:r>
      <w:r w:rsidR="001C361C">
        <w:t xml:space="preserve"> and competing feelings about the parties and their candidates</w:t>
      </w:r>
      <w:r w:rsidRPr="006A1F37">
        <w:t xml:space="preserve"> have been studied as factors that </w:t>
      </w:r>
      <w:r w:rsidRPr="006A1F37">
        <w:rPr>
          <w:i/>
        </w:rPr>
        <w:t>motivate</w:t>
      </w:r>
      <w:r w:rsidRPr="006A1F37">
        <w:t xml:space="preserve"> voters to think about politics, and each of these variables have been found to push </w:t>
      </w:r>
      <w:r w:rsidRPr="006A1F37">
        <w:lastRenderedPageBreak/>
        <w:t>vot</w:t>
      </w:r>
      <w:r w:rsidR="004C4A1F" w:rsidRPr="006A1F37">
        <w:t>ers to follow policy over party</w:t>
      </w:r>
      <w:r w:rsidRPr="006A1F37">
        <w:t xml:space="preserve"> (</w:t>
      </w:r>
      <w:r w:rsidR="00781E15" w:rsidRPr="006A1F37">
        <w:t xml:space="preserve">Albertson &amp; </w:t>
      </w:r>
      <w:proofErr w:type="spellStart"/>
      <w:r w:rsidR="00781E15" w:rsidRPr="006A1F37">
        <w:t>Gadarian</w:t>
      </w:r>
      <w:proofErr w:type="spellEnd"/>
      <w:r w:rsidR="00781E15" w:rsidRPr="006A1F37">
        <w:t xml:space="preserve">, 2015; </w:t>
      </w:r>
      <w:proofErr w:type="spellStart"/>
      <w:r w:rsidRPr="006A1F37">
        <w:t>Hillygus</w:t>
      </w:r>
      <w:proofErr w:type="spellEnd"/>
      <w:r w:rsidRPr="006A1F37">
        <w:t xml:space="preserve"> &amp; Shields, 2008; Lavine, Johnston, &amp; </w:t>
      </w:r>
      <w:proofErr w:type="spellStart"/>
      <w:r w:rsidRPr="006A1F37">
        <w:t>Steenbergen</w:t>
      </w:r>
      <w:proofErr w:type="spellEnd"/>
      <w:r w:rsidRPr="006A1F37">
        <w:t>, 2012</w:t>
      </w:r>
      <w:r w:rsidR="006A1F37" w:rsidRPr="006A1F37">
        <w:t xml:space="preserve">; Marcus, Neuman, &amp; </w:t>
      </w:r>
      <w:proofErr w:type="spellStart"/>
      <w:r w:rsidR="006A1F37" w:rsidRPr="006A1F37">
        <w:t>MacKuen</w:t>
      </w:r>
      <w:proofErr w:type="spellEnd"/>
      <w:r w:rsidR="006A1F37" w:rsidRPr="006A1F37">
        <w:t>, 2000</w:t>
      </w:r>
      <w:r w:rsidRPr="006A1F37">
        <w:t>).</w:t>
      </w:r>
    </w:p>
    <w:p w14:paraId="7B7BCE5D" w14:textId="03BB305C" w:rsidR="003058B0" w:rsidRPr="006A1F37" w:rsidRDefault="003058B0" w:rsidP="003058B0">
      <w:pPr>
        <w:spacing w:line="480" w:lineRule="auto"/>
        <w:ind w:firstLine="720"/>
        <w:contextualSpacing/>
      </w:pPr>
      <w:r w:rsidRPr="006A1F37">
        <w:t xml:space="preserve">Existing research on network disagreement has shown that disagreement can furnish voters with both </w:t>
      </w:r>
      <w:r w:rsidR="0039346A">
        <w:t xml:space="preserve">political information and </w:t>
      </w:r>
      <w:r w:rsidRPr="006A1F37">
        <w:t xml:space="preserve">the motivation to use that information. We review this literature below. </w:t>
      </w:r>
    </w:p>
    <w:p w14:paraId="7E5EE812" w14:textId="77777777" w:rsidR="003058B0" w:rsidRPr="006A1F37" w:rsidRDefault="003058B0" w:rsidP="008338AC">
      <w:pPr>
        <w:spacing w:line="480" w:lineRule="auto"/>
        <w:contextualSpacing/>
      </w:pPr>
      <w:r w:rsidRPr="006A1F37">
        <w:rPr>
          <w:b/>
        </w:rPr>
        <w:t>Network Disagreement Enables and Motivates Political Reasoning</w:t>
      </w:r>
    </w:p>
    <w:p w14:paraId="150672F8" w14:textId="77777777" w:rsidR="003058B0" w:rsidRPr="006A1F37" w:rsidRDefault="003058B0" w:rsidP="00BA2876">
      <w:pPr>
        <w:spacing w:line="480" w:lineRule="auto"/>
        <w:ind w:firstLine="720"/>
        <w:contextualSpacing/>
        <w:rPr>
          <w:b/>
        </w:rPr>
      </w:pPr>
      <w:r w:rsidRPr="006A1F37">
        <w:rPr>
          <w:b/>
        </w:rPr>
        <w:t xml:space="preserve">Network </w:t>
      </w:r>
      <w:r w:rsidR="00BA2876" w:rsidRPr="006A1F37">
        <w:rPr>
          <w:b/>
        </w:rPr>
        <w:t>d</w:t>
      </w:r>
      <w:r w:rsidRPr="006A1F37">
        <w:rPr>
          <w:b/>
        </w:rPr>
        <w:t>isagreement and “</w:t>
      </w:r>
      <w:r w:rsidR="00BA2876" w:rsidRPr="006A1F37">
        <w:rPr>
          <w:b/>
        </w:rPr>
        <w:t>a</w:t>
      </w:r>
      <w:r w:rsidRPr="006A1F37">
        <w:rPr>
          <w:b/>
        </w:rPr>
        <w:t>bility”:</w:t>
      </w:r>
      <w:r w:rsidR="00BA2876" w:rsidRPr="006A1F37">
        <w:rPr>
          <w:b/>
        </w:rPr>
        <w:t xml:space="preserve"> Political Information. </w:t>
      </w:r>
      <w:r w:rsidRPr="006A1F37">
        <w:t>By exposing people to perspectives that differ from their own, disagreement introduces people to political information to which they are less likely to willingly expose themselves (Stroud, 2011). Previous research has found that network disagreement predicts various forms of political knowledge (</w:t>
      </w:r>
      <w:proofErr w:type="spellStart"/>
      <w:r w:rsidRPr="006A1F37">
        <w:t>Eveland</w:t>
      </w:r>
      <w:proofErr w:type="spellEnd"/>
      <w:r w:rsidRPr="006A1F37">
        <w:t xml:space="preserve"> &amp; Hively, 2009; </w:t>
      </w:r>
      <w:proofErr w:type="spellStart"/>
      <w:r w:rsidRPr="006A1F37">
        <w:t>Scheufele</w:t>
      </w:r>
      <w:proofErr w:type="spellEnd"/>
      <w:r w:rsidRPr="006A1F37">
        <w:t xml:space="preserve"> et al., 2004), increased consumption of “hard” news (</w:t>
      </w:r>
      <w:proofErr w:type="spellStart"/>
      <w:r w:rsidRPr="006A1F37">
        <w:t>Scheufele</w:t>
      </w:r>
      <w:proofErr w:type="spellEnd"/>
      <w:r w:rsidRPr="006A1F37">
        <w:t xml:space="preserve"> et al., 2004), and the ability to offer reasons why someone would support or oppose a given political candidate (</w:t>
      </w:r>
      <w:r w:rsidRPr="006A1F37">
        <w:rPr>
          <w:rFonts w:eastAsia="Times New Roman"/>
        </w:rPr>
        <w:t>Huckfeldt, Mendez, &amp; Osborn, 2004</w:t>
      </w:r>
      <w:r w:rsidRPr="006A1F37">
        <w:t>). All of this evidence is consistent with the idea that disagreement gives citizens information that makes relatively elaborate political reasoning possible.</w:t>
      </w:r>
    </w:p>
    <w:p w14:paraId="33754F37" w14:textId="57FD894F" w:rsidR="003058B0" w:rsidRDefault="003058B0" w:rsidP="00BA2876">
      <w:pPr>
        <w:spacing w:line="480" w:lineRule="auto"/>
        <w:ind w:firstLine="720"/>
        <w:contextualSpacing/>
      </w:pPr>
      <w:r w:rsidRPr="006A1F37">
        <w:rPr>
          <w:b/>
        </w:rPr>
        <w:t xml:space="preserve">Network </w:t>
      </w:r>
      <w:r w:rsidR="00BA2876" w:rsidRPr="006A1F37">
        <w:rPr>
          <w:b/>
        </w:rPr>
        <w:t>disagreement and “motivation”</w:t>
      </w:r>
      <w:r w:rsidRPr="006A1F37">
        <w:rPr>
          <w:b/>
        </w:rPr>
        <w:t xml:space="preserve">: Social </w:t>
      </w:r>
      <w:r w:rsidR="00BA2876" w:rsidRPr="006A1F37">
        <w:rPr>
          <w:b/>
        </w:rPr>
        <w:t>P</w:t>
      </w:r>
      <w:r w:rsidRPr="006A1F37">
        <w:rPr>
          <w:b/>
        </w:rPr>
        <w:t>ressure</w:t>
      </w:r>
      <w:r w:rsidR="00BA2876" w:rsidRPr="006A1F37">
        <w:rPr>
          <w:b/>
        </w:rPr>
        <w:t xml:space="preserve">. </w:t>
      </w:r>
      <w:r w:rsidR="008338AC">
        <w:t>D</w:t>
      </w:r>
      <w:r w:rsidRPr="006A1F37">
        <w:t xml:space="preserve">isagreement also exposes individuals to social pressure </w:t>
      </w:r>
      <w:r w:rsidR="008338AC">
        <w:t xml:space="preserve">to re-evaluate their political attitudes </w:t>
      </w:r>
      <w:r w:rsidRPr="006A1F37">
        <w:t xml:space="preserve">by making it clear that cherished others do not share their views (Sinclair, 2012). </w:t>
      </w:r>
      <w:r w:rsidR="00917A5B">
        <w:t xml:space="preserve">This </w:t>
      </w:r>
      <w:r w:rsidRPr="006A1F37">
        <w:t>puts people in an uncomfortable position, to the extent that</w:t>
      </w:r>
      <w:r w:rsidR="00917A5B">
        <w:t xml:space="preserve"> they</w:t>
      </w:r>
      <w:r w:rsidRPr="006A1F37">
        <w:t xml:space="preserve"> feel positively about both their attitudes and their friends or family who oppose them. This discomfort—</w:t>
      </w:r>
      <w:r w:rsidR="00723CFE">
        <w:t>according to</w:t>
      </w:r>
      <w:r w:rsidRPr="006A1F37">
        <w:t xml:space="preserve"> classic social-psychological theories </w:t>
      </w:r>
      <w:r w:rsidR="00723CFE">
        <w:t>of Cognitive Dissonance</w:t>
      </w:r>
      <w:r w:rsidRPr="006A1F37">
        <w:t xml:space="preserve"> </w:t>
      </w:r>
      <w:r w:rsidR="001C361C">
        <w:t>(Festinger, 1962) and</w:t>
      </w:r>
      <w:r w:rsidRPr="006A1F37">
        <w:t xml:space="preserve"> </w:t>
      </w:r>
      <w:r w:rsidR="00723CFE">
        <w:t>Balance</w:t>
      </w:r>
      <w:r w:rsidRPr="006A1F37">
        <w:t xml:space="preserve"> (Heider, 1958)</w:t>
      </w:r>
      <w:r w:rsidR="0008142E" w:rsidRPr="006A1F37">
        <w:t>—</w:t>
      </w:r>
      <w:r w:rsidR="00723CFE">
        <w:t xml:space="preserve">is an aversive state that people are motivated to reduce. </w:t>
      </w:r>
      <w:r w:rsidR="006C0C2E">
        <w:t>Reflecting more carefully on one’s existing attitudes is one way to reduce this discomfort.</w:t>
      </w:r>
    </w:p>
    <w:p w14:paraId="6084F2A1" w14:textId="4EF406E4" w:rsidR="00EF4AC2" w:rsidRPr="006A1F37" w:rsidRDefault="00C77D8A" w:rsidP="00EF4AC2">
      <w:pPr>
        <w:spacing w:line="480" w:lineRule="auto"/>
        <w:ind w:firstLine="720"/>
        <w:contextualSpacing/>
      </w:pPr>
      <w:r>
        <w:lastRenderedPageBreak/>
        <w:t>I</w:t>
      </w:r>
      <w:r w:rsidR="00EF4AC2">
        <w:t>magine learning, to your surprise, that a close friend disagrees with your evaluation of</w:t>
      </w:r>
      <w:r w:rsidR="00EF4AC2" w:rsidRPr="006A1F37">
        <w:t xml:space="preserve"> a presidential candidate</w:t>
      </w:r>
      <w:r w:rsidR="00EF4AC2">
        <w:t>. Cognitive Dissonance Theory and Balance Theory both suggest that</w:t>
      </w:r>
      <w:r w:rsidR="001C361C">
        <w:t xml:space="preserve"> </w:t>
      </w:r>
      <w:r w:rsidR="00EF4AC2">
        <w:t>you can mitigate the discomfort of this realization through cognitive differentiation. You might</w:t>
      </w:r>
      <w:r w:rsidR="007D6CD3">
        <w:t>, for example,</w:t>
      </w:r>
      <w:r w:rsidR="00EF4AC2">
        <w:t xml:space="preserve"> focus on the fact that your friend</w:t>
      </w:r>
      <w:r w:rsidR="00EF4AC2" w:rsidRPr="006A1F37">
        <w:t xml:space="preserve"> agree</w:t>
      </w:r>
      <w:r w:rsidR="00EF4AC2">
        <w:t>s</w:t>
      </w:r>
      <w:r w:rsidR="00EF4AC2" w:rsidRPr="006A1F37">
        <w:t xml:space="preserve"> with </w:t>
      </w:r>
      <w:r w:rsidR="00EF4AC2">
        <w:t xml:space="preserve">you regarding the </w:t>
      </w:r>
      <w:r w:rsidR="00EF4AC2" w:rsidRPr="006A1F37">
        <w:t xml:space="preserve">candidate’s stances on social issues, </w:t>
      </w:r>
      <w:r w:rsidR="00EF4AC2">
        <w:t>and set aside your</w:t>
      </w:r>
      <w:r w:rsidR="00EF4AC2" w:rsidRPr="006A1F37">
        <w:t xml:space="preserve"> disagree</w:t>
      </w:r>
      <w:r w:rsidR="00EF4AC2">
        <w:t>ment</w:t>
      </w:r>
      <w:r w:rsidR="00EF4AC2" w:rsidRPr="006A1F37">
        <w:t xml:space="preserve"> about his economic policies. </w:t>
      </w:r>
      <w:r w:rsidR="00EF4AC2">
        <w:t>Cognitive</w:t>
      </w:r>
      <w:r w:rsidR="00EF4AC2" w:rsidRPr="006A1F37">
        <w:t xml:space="preserve"> differentiation</w:t>
      </w:r>
      <w:r w:rsidR="00EF4AC2">
        <w:t>—a form of elaboration—is not the only way to reduce dissonance or achieve balance, but many would prefer it to c</w:t>
      </w:r>
      <w:r w:rsidR="00EF4AC2" w:rsidRPr="006A1F37">
        <w:t xml:space="preserve">hanging their attitudes, dismissing the presidency as unimportant, or dissolving their friendship. </w:t>
      </w:r>
    </w:p>
    <w:p w14:paraId="02BCB95C" w14:textId="16D3B3AF" w:rsidR="003058B0" w:rsidRPr="006A1F37" w:rsidRDefault="007D6CD3" w:rsidP="002F1F2E">
      <w:pPr>
        <w:spacing w:line="480" w:lineRule="auto"/>
        <w:ind w:firstLine="720"/>
        <w:contextualSpacing/>
      </w:pPr>
      <w:r>
        <w:t xml:space="preserve">This idea is consistent with evidence that disagreement can soften people’s reactions to views that oppose their own. </w:t>
      </w:r>
      <w:r w:rsidR="003058B0" w:rsidRPr="006A1F37">
        <w:t xml:space="preserve">Visser and </w:t>
      </w:r>
      <w:proofErr w:type="spellStart"/>
      <w:r w:rsidR="003058B0" w:rsidRPr="006A1F37">
        <w:t>Mirabile</w:t>
      </w:r>
      <w:proofErr w:type="spellEnd"/>
      <w:r w:rsidR="003058B0" w:rsidRPr="006A1F37">
        <w:t xml:space="preserve"> (2004) report that individuals’ attitudes are less resistant to change when they reside</w:t>
      </w:r>
      <w:r w:rsidR="00061F57" w:rsidRPr="006A1F37">
        <w:t xml:space="preserve"> in</w:t>
      </w:r>
      <w:r w:rsidR="003058B0" w:rsidRPr="006A1F37">
        <w:t xml:space="preserve"> attitudinally diverse </w:t>
      </w:r>
      <w:bookmarkStart w:id="1" w:name="_Hlk2159872"/>
      <w:r w:rsidR="003058B0" w:rsidRPr="006A1F37">
        <w:t xml:space="preserve">networks. </w:t>
      </w:r>
      <w:r>
        <w:t>P</w:t>
      </w:r>
      <w:r w:rsidRPr="006A1F37">
        <w:t xml:space="preserve">eople in high-disagreement networks </w:t>
      </w:r>
      <w:r>
        <w:t xml:space="preserve">are </w:t>
      </w:r>
      <w:r w:rsidR="002F1F2E">
        <w:t>similarly</w:t>
      </w:r>
      <w:r w:rsidRPr="006A1F37">
        <w:t xml:space="preserve"> more likely to concede the legitimacy of others’ opinions (Mutz, 2002a, 2006), more tolerant of people who hold those opposing viewpoints (Mutz, 2002a, 2006)</w:t>
      </w:r>
      <w:r>
        <w:t>, and more likely to hold both positive and negative views about their preferred candidate and his or her opponent</w:t>
      </w:r>
      <w:r w:rsidRPr="006A1F37">
        <w:t xml:space="preserve"> (</w:t>
      </w:r>
      <w:r w:rsidRPr="006A1F37">
        <w:rPr>
          <w:rFonts w:eastAsia="Times New Roman"/>
        </w:rPr>
        <w:t>Huckfeldt</w:t>
      </w:r>
      <w:r w:rsidR="007A2CC4">
        <w:rPr>
          <w:rFonts w:eastAsia="Times New Roman"/>
        </w:rPr>
        <w:t xml:space="preserve"> et al.,</w:t>
      </w:r>
      <w:r w:rsidRPr="006A1F37">
        <w:rPr>
          <w:rFonts w:eastAsia="Times New Roman"/>
        </w:rPr>
        <w:t xml:space="preserve"> 2004</w:t>
      </w:r>
      <w:r w:rsidRPr="006A1F37">
        <w:t>).</w:t>
      </w:r>
      <w:r w:rsidR="00DE2794">
        <w:t xml:space="preserve"> Part of these effects may be attributable to greater cognitive elaboration.</w:t>
      </w:r>
      <w:r>
        <w:t xml:space="preserve"> </w:t>
      </w:r>
      <w:bookmarkEnd w:id="1"/>
      <w:r>
        <w:t xml:space="preserve">Green, Visser, and Tetlock (2000) find that </w:t>
      </w:r>
      <w:r w:rsidR="003058B0" w:rsidRPr="006A1F37">
        <w:t>when people believe</w:t>
      </w:r>
      <w:r w:rsidR="005813AC" w:rsidRPr="006A1F37">
        <w:t xml:space="preserve"> that</w:t>
      </w:r>
      <w:r w:rsidR="003058B0" w:rsidRPr="006A1F37">
        <w:t xml:space="preserve"> they will need to justify their opinions to </w:t>
      </w:r>
      <w:r w:rsidR="005813AC" w:rsidRPr="006A1F37">
        <w:t>others</w:t>
      </w:r>
      <w:r w:rsidR="003058B0" w:rsidRPr="006A1F37">
        <w:t xml:space="preserve"> who do not share their views, they tend to </w:t>
      </w:r>
      <w:r w:rsidR="00061F57" w:rsidRPr="006A1F37">
        <w:t xml:space="preserve">devote more thought to </w:t>
      </w:r>
      <w:r w:rsidR="003058B0" w:rsidRPr="006A1F37">
        <w:t xml:space="preserve">those opinions </w:t>
      </w:r>
      <w:r w:rsidR="00061F57" w:rsidRPr="006A1F37">
        <w:t>than when they anticipate a more congenial audience</w:t>
      </w:r>
      <w:r w:rsidR="003058B0" w:rsidRPr="006A1F37">
        <w:t xml:space="preserve">. </w:t>
      </w:r>
      <w:r w:rsidR="00DE2794">
        <w:t xml:space="preserve">Disagreement </w:t>
      </w:r>
      <w:r w:rsidR="00C15C72">
        <w:t>can</w:t>
      </w:r>
      <w:r w:rsidR="00DE2794">
        <w:t xml:space="preserve"> </w:t>
      </w:r>
      <w:r w:rsidR="00C15C72">
        <w:t>push</w:t>
      </w:r>
      <w:r w:rsidR="00DE2794">
        <w:t xml:space="preserve"> people to consider views </w:t>
      </w:r>
      <w:r w:rsidR="00C15C72">
        <w:t>that differ</w:t>
      </w:r>
      <w:r w:rsidR="00DE2794">
        <w:t xml:space="preserve"> from their own</w:t>
      </w:r>
      <w:r w:rsidR="00C15C72">
        <w:t xml:space="preserve"> and provide an impetus for cognitive elaboration.</w:t>
      </w:r>
    </w:p>
    <w:p w14:paraId="1D1FA623" w14:textId="77777777" w:rsidR="00865136" w:rsidRPr="006A1F37" w:rsidRDefault="00865136" w:rsidP="00865136">
      <w:pPr>
        <w:spacing w:line="480" w:lineRule="auto"/>
        <w:contextualSpacing/>
        <w:jc w:val="center"/>
        <w:rPr>
          <w:b/>
        </w:rPr>
      </w:pPr>
      <w:r w:rsidRPr="006A1F37">
        <w:rPr>
          <w:b/>
        </w:rPr>
        <w:t>Overview and Hypotheses</w:t>
      </w:r>
    </w:p>
    <w:p w14:paraId="62354A88" w14:textId="3AFA03AD" w:rsidR="00AD53AC" w:rsidRPr="006A1F37" w:rsidRDefault="00865136" w:rsidP="00865136">
      <w:pPr>
        <w:spacing w:line="480" w:lineRule="auto"/>
        <w:ind w:firstLine="720"/>
        <w:contextualSpacing/>
      </w:pPr>
      <w:r w:rsidRPr="006A1F37">
        <w:t xml:space="preserve">Introducing people to new information does not compel them to use it, and making people uncomfortable does not imbue them with policy expertise. But in political disagreements </w:t>
      </w:r>
      <w:r w:rsidRPr="006A1F37">
        <w:lastRenderedPageBreak/>
        <w:t xml:space="preserve">between real people, both information </w:t>
      </w:r>
      <w:r w:rsidRPr="006A1F37">
        <w:rPr>
          <w:i/>
        </w:rPr>
        <w:t>and</w:t>
      </w:r>
      <w:r w:rsidRPr="006A1F37">
        <w:t xml:space="preserve"> social pressure are communicated together, given that when people express their opinions, they also reveal whether they disagree with others around them. We expect disagreement to condition the effects of party identification and policy preferences on candidate evaluations because it provides voters with information that goes beyond which candidate belongs to which party </w:t>
      </w:r>
      <w:r w:rsidRPr="006A1F37">
        <w:rPr>
          <w:i/>
        </w:rPr>
        <w:t>and</w:t>
      </w:r>
      <w:r w:rsidRPr="006A1F37">
        <w:t xml:space="preserve"> </w:t>
      </w:r>
      <w:r w:rsidR="00F06578" w:rsidRPr="006A1F37">
        <w:t xml:space="preserve">it </w:t>
      </w:r>
      <w:r w:rsidRPr="006A1F37">
        <w:t xml:space="preserve">presses them to use that additional information to refine and articulate their preferences. </w:t>
      </w:r>
    </w:p>
    <w:p w14:paraId="10FEAD8F" w14:textId="54817409" w:rsidR="00636099" w:rsidRPr="006A1F37" w:rsidRDefault="00636099" w:rsidP="00636099">
      <w:pPr>
        <w:spacing w:line="480" w:lineRule="auto"/>
        <w:ind w:firstLine="720"/>
        <w:contextualSpacing/>
      </w:pPr>
      <w:r w:rsidRPr="006A1F37">
        <w:t>In the present study, we hypothesize that individuals who perceive higher levels of disagreement in their social networks will rely more on policy preferences (</w:t>
      </w:r>
      <w:r w:rsidRPr="006A1F37">
        <w:rPr>
          <w:b/>
        </w:rPr>
        <w:t>H1</w:t>
      </w:r>
      <w:r w:rsidRPr="006A1F37">
        <w:t>) and less on party identification (</w:t>
      </w:r>
      <w:r w:rsidRPr="006A1F37">
        <w:rPr>
          <w:b/>
        </w:rPr>
        <w:t>H2</w:t>
      </w:r>
      <w:r w:rsidRPr="006A1F37">
        <w:t xml:space="preserve">) in their evaluations of political candidates. Operationally, we therefore predict that disagreement will </w:t>
      </w:r>
      <w:r w:rsidRPr="00C15C72">
        <w:t>interact</w:t>
      </w:r>
      <w:r w:rsidRPr="006A1F37">
        <w:t xml:space="preserve"> with party identification and policy preferences in models predicting candidate evaluations, such that the coefficient for policy</w:t>
      </w:r>
      <w:r w:rsidR="008E1118" w:rsidRPr="006A1F37">
        <w:t xml:space="preserve"> preferences</w:t>
      </w:r>
      <w:r w:rsidRPr="006A1F37">
        <w:t xml:space="preserve"> will be strongest when disagreement is high and that the coefficient for part</w:t>
      </w:r>
      <w:r w:rsidR="008E1118" w:rsidRPr="006A1F37">
        <w:t xml:space="preserve">y identification </w:t>
      </w:r>
      <w:r w:rsidRPr="006A1F37">
        <w:t xml:space="preserve">will be weakest under the same circumstances. </w:t>
      </w:r>
      <w:r w:rsidR="00297D37">
        <w:t xml:space="preserve">We test these hypotheses in two-wave panel models, which allow for stronger (albeit imperfect) causal inferences. </w:t>
      </w:r>
    </w:p>
    <w:p w14:paraId="73E4047E" w14:textId="77777777" w:rsidR="003058B0" w:rsidRPr="006A1F37" w:rsidRDefault="003058B0" w:rsidP="003058B0">
      <w:pPr>
        <w:spacing w:line="480" w:lineRule="auto"/>
        <w:contextualSpacing/>
        <w:jc w:val="center"/>
        <w:rPr>
          <w:b/>
        </w:rPr>
      </w:pPr>
      <w:r w:rsidRPr="006A1F37">
        <w:rPr>
          <w:b/>
        </w:rPr>
        <w:t>Method</w:t>
      </w:r>
    </w:p>
    <w:p w14:paraId="0D8D4C3D" w14:textId="77777777" w:rsidR="003058B0" w:rsidRPr="006A1F37" w:rsidRDefault="003058B0" w:rsidP="003058B0">
      <w:pPr>
        <w:spacing w:line="480" w:lineRule="auto"/>
        <w:contextualSpacing/>
        <w:rPr>
          <w:b/>
        </w:rPr>
      </w:pPr>
      <w:r w:rsidRPr="006A1F37">
        <w:rPr>
          <w:b/>
        </w:rPr>
        <w:t>Data</w:t>
      </w:r>
    </w:p>
    <w:p w14:paraId="00B27A62" w14:textId="192418A9" w:rsidR="003058B0" w:rsidRPr="006A1F37" w:rsidRDefault="004E2BB9" w:rsidP="003058B0">
      <w:pPr>
        <w:spacing w:line="480" w:lineRule="auto"/>
        <w:ind w:firstLine="720"/>
        <w:contextualSpacing/>
      </w:pPr>
      <w:r>
        <w:t>W</w:t>
      </w:r>
      <w:r w:rsidR="003058B0" w:rsidRPr="006A1F37">
        <w:t xml:space="preserve">e </w:t>
      </w:r>
      <w:r>
        <w:t>employ data</w:t>
      </w:r>
      <w:r w:rsidR="003058B0" w:rsidRPr="006A1F37">
        <w:t xml:space="preserve"> from two nationwide panels: the Minnesota Multi-Investigator 2012 Presidential Election Panel Study (MN panel; Chen et al., 2014), and the 2008-2009 ANES panel study. Conducted during the last month of the 2012 presidential election, the MN panel surveyed 1,800 American residents age 18 or older using Amazon’s Mechanical Turk (</w:t>
      </w:r>
      <w:proofErr w:type="spellStart"/>
      <w:r w:rsidR="003058B0" w:rsidRPr="006A1F37">
        <w:t>MTurk</w:t>
      </w:r>
      <w:proofErr w:type="spellEnd"/>
      <w:r w:rsidR="003058B0" w:rsidRPr="006A1F37">
        <w:t xml:space="preserve">) over three waves. Descriptive statistics are available in </w:t>
      </w:r>
      <w:r w:rsidR="008B4A22">
        <w:t xml:space="preserve">Appendix B, </w:t>
      </w:r>
      <w:r w:rsidR="003058B0" w:rsidRPr="006A1F37">
        <w:t xml:space="preserve">Table </w:t>
      </w:r>
      <w:r w:rsidR="007E2DAD">
        <w:t>B</w:t>
      </w:r>
      <w:r w:rsidR="00B5686C">
        <w:t>1</w:t>
      </w:r>
      <w:r w:rsidR="003058B0" w:rsidRPr="006A1F37">
        <w:t xml:space="preserve">. </w:t>
      </w:r>
      <w:r>
        <w:t>Th</w:t>
      </w:r>
      <w:r w:rsidR="004012D8">
        <w:t xml:space="preserve">is </w:t>
      </w:r>
      <w:r>
        <w:t>sample</w:t>
      </w:r>
      <w:r w:rsidR="003058B0" w:rsidRPr="006A1F37">
        <w:t xml:space="preserve"> </w:t>
      </w:r>
      <w:r>
        <w:t>overrepresented</w:t>
      </w:r>
      <w:r w:rsidR="003058B0" w:rsidRPr="006A1F37">
        <w:t xml:space="preserve"> Democrat</w:t>
      </w:r>
      <w:r w:rsidR="004C4665">
        <w:t>s</w:t>
      </w:r>
      <w:r w:rsidR="003058B0" w:rsidRPr="006A1F37">
        <w:t xml:space="preserve"> (59%; 14% Independent and 28% Republican), </w:t>
      </w:r>
      <w:r w:rsidR="006C0C2E">
        <w:t>W</w:t>
      </w:r>
      <w:r w:rsidR="003058B0" w:rsidRPr="006A1F37">
        <w:t>hite</w:t>
      </w:r>
      <w:r w:rsidR="004C4665">
        <w:t>s</w:t>
      </w:r>
      <w:r w:rsidR="003058B0" w:rsidRPr="006A1F37">
        <w:t xml:space="preserve"> (84%), and </w:t>
      </w:r>
      <w:r w:rsidR="004C4665">
        <w:t xml:space="preserve">the </w:t>
      </w:r>
      <w:r w:rsidR="003058B0" w:rsidRPr="006A1F37">
        <w:t>well</w:t>
      </w:r>
      <w:r w:rsidR="004012D8">
        <w:t>-</w:t>
      </w:r>
      <w:r w:rsidR="003058B0" w:rsidRPr="006A1F37">
        <w:t>educated (59% had a college degree)</w:t>
      </w:r>
      <w:r w:rsidR="004012D8">
        <w:t xml:space="preserve">, </w:t>
      </w:r>
      <w:r w:rsidR="003058B0" w:rsidRPr="006A1F37">
        <w:t xml:space="preserve">similar to other </w:t>
      </w:r>
      <w:proofErr w:type="spellStart"/>
      <w:r w:rsidR="003058B0" w:rsidRPr="006A1F37">
        <w:t>MTurk</w:t>
      </w:r>
      <w:proofErr w:type="spellEnd"/>
      <w:r w:rsidR="003058B0" w:rsidRPr="006A1F37">
        <w:t xml:space="preserve"> samples (</w:t>
      </w:r>
      <w:proofErr w:type="spellStart"/>
      <w:r w:rsidR="003058B0" w:rsidRPr="006A1F37">
        <w:t>Berinsky</w:t>
      </w:r>
      <w:proofErr w:type="spellEnd"/>
      <w:r w:rsidR="003058B0" w:rsidRPr="006A1F37">
        <w:t xml:space="preserve">, Huber, &amp; Lenz, 2012). </w:t>
      </w:r>
      <w:r w:rsidR="003058B0" w:rsidRPr="006A1F37">
        <w:lastRenderedPageBreak/>
        <w:t>We include all of these variables as controls in our model, but the high levels of education in this sample remain a concern. More educated people may be especially able or willing to respond to disagreement with greater cognitive elaboration. Of course, this line of speculation may give too little credit to those without a college education (and too much credit to those who have one), but it is a possibility that may limit the generalizability of our findings in this analysis.</w:t>
      </w:r>
    </w:p>
    <w:p w14:paraId="5A0DBA3F" w14:textId="69361411" w:rsidR="003058B0" w:rsidRPr="006A1F37" w:rsidRDefault="003058B0" w:rsidP="003058B0">
      <w:pPr>
        <w:spacing w:line="480" w:lineRule="auto"/>
        <w:ind w:firstLine="720"/>
        <w:contextualSpacing/>
      </w:pPr>
      <w:r w:rsidRPr="006A1F37">
        <w:t xml:space="preserve">With the ANES, however, we can overcome this limitation. The ANES recruited 4,240 respondents in two cohorts of US citizens age 18 or older as of Election Day 2008 using standard random-digit-dialing (RDD) methods, first in late 2007, then again in the summer of 2008. </w:t>
      </w:r>
      <w:proofErr w:type="spellStart"/>
      <w:r w:rsidRPr="006A1F37">
        <w:t>DeBell</w:t>
      </w:r>
      <w:proofErr w:type="spellEnd"/>
      <w:r w:rsidRPr="006A1F37">
        <w:t xml:space="preserve">, Krosnick and </w:t>
      </w:r>
      <w:proofErr w:type="spellStart"/>
      <w:r w:rsidRPr="006A1F37">
        <w:t>Lupia</w:t>
      </w:r>
      <w:proofErr w:type="spellEnd"/>
      <w:r w:rsidRPr="006A1F37">
        <w:t xml:space="preserve"> (2010) calculate the response rate at 43% using the CASRO method</w:t>
      </w:r>
      <w:r w:rsidR="00A00BCD" w:rsidRPr="006A1F37">
        <w:t>.</w:t>
      </w:r>
      <w:r w:rsidR="00127070" w:rsidRPr="006A1F37">
        <w:rPr>
          <w:rStyle w:val="EndnoteReference"/>
        </w:rPr>
        <w:endnoteReference w:id="2"/>
      </w:r>
      <w:r w:rsidR="00127070" w:rsidRPr="006A1F37">
        <w:t xml:space="preserve"> </w:t>
      </w:r>
      <w:r w:rsidRPr="006A1F37">
        <w:t xml:space="preserve">Descriptive statistics are available in </w:t>
      </w:r>
      <w:r w:rsidR="00F13AB4">
        <w:t xml:space="preserve">Appendix B, </w:t>
      </w:r>
      <w:r w:rsidRPr="006A1F37">
        <w:t xml:space="preserve">Table </w:t>
      </w:r>
      <w:r w:rsidR="007E2DAD">
        <w:t>B</w:t>
      </w:r>
      <w:r w:rsidR="00B5686C">
        <w:t>2</w:t>
      </w:r>
      <w:r w:rsidRPr="006A1F37">
        <w:t xml:space="preserve">. The ANES sample is as nearly representative of the American population as contemporary sampling methodologies allow. </w:t>
      </w:r>
    </w:p>
    <w:p w14:paraId="5BAEE904" w14:textId="3828920A" w:rsidR="003058B0" w:rsidRPr="006A1F37" w:rsidRDefault="003058B0" w:rsidP="003058B0">
      <w:pPr>
        <w:spacing w:line="480" w:lineRule="auto"/>
        <w:ind w:firstLine="720"/>
        <w:contextualSpacing/>
      </w:pPr>
      <w:r w:rsidRPr="006A1F37">
        <w:t>Due to attrition across waves and missing data in individual items, we include only a subset of respondents in our main analyses</w:t>
      </w:r>
      <w:r w:rsidR="00285CB1">
        <w:t xml:space="preserve"> (MN Panel</w:t>
      </w:r>
      <w:r w:rsidRPr="006A1F37">
        <w:t xml:space="preserve"> </w:t>
      </w:r>
      <w:r w:rsidRPr="006A1F37">
        <w:rPr>
          <w:i/>
        </w:rPr>
        <w:t xml:space="preserve">N </w:t>
      </w:r>
      <w:r w:rsidRPr="006A1F37">
        <w:t>= 9</w:t>
      </w:r>
      <w:r w:rsidR="0086535C" w:rsidRPr="006A1F37">
        <w:t>27</w:t>
      </w:r>
      <w:r w:rsidR="00285CB1">
        <w:t>;</w:t>
      </w:r>
      <w:r w:rsidRPr="006A1F37">
        <w:t xml:space="preserve"> </w:t>
      </w:r>
      <w:r w:rsidR="00285CB1">
        <w:t xml:space="preserve">ANES Panel </w:t>
      </w:r>
      <w:r w:rsidR="00285CB1">
        <w:rPr>
          <w:i/>
        </w:rPr>
        <w:t>N =</w:t>
      </w:r>
      <w:r w:rsidR="00285CB1" w:rsidRPr="006A1F37">
        <w:t xml:space="preserve"> 1,013 </w:t>
      </w:r>
      <w:r w:rsidR="00285CB1">
        <w:t xml:space="preserve">in models predicting candidate evaluations; ANES Panel </w:t>
      </w:r>
      <w:r w:rsidRPr="006A1F37">
        <w:rPr>
          <w:i/>
        </w:rPr>
        <w:t xml:space="preserve">N </w:t>
      </w:r>
      <w:r w:rsidRPr="006A1F37">
        <w:t xml:space="preserve">= </w:t>
      </w:r>
      <w:r w:rsidR="008C4096" w:rsidRPr="006A1F37">
        <w:t>90</w:t>
      </w:r>
      <w:r w:rsidR="004C4665">
        <w:t>0</w:t>
      </w:r>
      <w:r w:rsidR="008C4096" w:rsidRPr="006A1F37">
        <w:t xml:space="preserve"> </w:t>
      </w:r>
      <w:r w:rsidR="00285CB1">
        <w:t>in models predicting vote choice)</w:t>
      </w:r>
      <w:r w:rsidRPr="006A1F37">
        <w:t>. Further information concerning</w:t>
      </w:r>
      <w:r w:rsidR="004C4665">
        <w:t xml:space="preserve"> balance tests</w:t>
      </w:r>
      <w:r w:rsidRPr="006A1F37">
        <w:t xml:space="preserve"> between the (complete) cases included in our analyses and the (incomplete) cases excluded is</w:t>
      </w:r>
      <w:r w:rsidR="00B5686C">
        <w:t xml:space="preserve"> provided in Appendix B, Table </w:t>
      </w:r>
      <w:r w:rsidR="007E2DAD">
        <w:t>B</w:t>
      </w:r>
      <w:r w:rsidR="00B5686C">
        <w:t>1</w:t>
      </w:r>
      <w:r w:rsidRPr="006A1F37">
        <w:t>.</w:t>
      </w:r>
      <w:r w:rsidRPr="006A1F37" w:rsidDel="00972000">
        <w:t xml:space="preserve"> </w:t>
      </w:r>
    </w:p>
    <w:p w14:paraId="602E137F" w14:textId="5359945C" w:rsidR="003058B0" w:rsidRPr="006A1F37" w:rsidRDefault="003058B0" w:rsidP="003058B0">
      <w:pPr>
        <w:spacing w:line="480" w:lineRule="auto"/>
        <w:ind w:firstLine="720"/>
        <w:contextualSpacing/>
      </w:pPr>
      <w:r w:rsidRPr="006A1F37">
        <w:t>The MN panel was conducted in three waves. The first wave took place between October 16</w:t>
      </w:r>
      <w:r w:rsidRPr="006A1F37">
        <w:rPr>
          <w:vertAlign w:val="superscript"/>
        </w:rPr>
        <w:t>th</w:t>
      </w:r>
      <w:r w:rsidRPr="006A1F37">
        <w:t xml:space="preserve"> and October 22</w:t>
      </w:r>
      <w:r w:rsidRPr="006A1F37">
        <w:rPr>
          <w:vertAlign w:val="superscript"/>
        </w:rPr>
        <w:t>nd</w:t>
      </w:r>
      <w:r w:rsidRPr="006A1F37">
        <w:t xml:space="preserve"> 2012. The second wave ran from October 31</w:t>
      </w:r>
      <w:r w:rsidRPr="006A1F37">
        <w:rPr>
          <w:vertAlign w:val="superscript"/>
        </w:rPr>
        <w:t>st</w:t>
      </w:r>
      <w:r w:rsidRPr="006A1F37">
        <w:t xml:space="preserve"> to November 5</w:t>
      </w:r>
      <w:r w:rsidRPr="006A1F37">
        <w:rPr>
          <w:vertAlign w:val="superscript"/>
        </w:rPr>
        <w:t>th</w:t>
      </w:r>
      <w:r w:rsidRPr="006A1F37">
        <w:t>, and the third (post-election) wave from November 14</w:t>
      </w:r>
      <w:r w:rsidRPr="006A1F37">
        <w:rPr>
          <w:vertAlign w:val="superscript"/>
        </w:rPr>
        <w:t>th</w:t>
      </w:r>
      <w:r w:rsidRPr="006A1F37">
        <w:t xml:space="preserve"> to November 24</w:t>
      </w:r>
      <w:r w:rsidRPr="006A1F37">
        <w:rPr>
          <w:vertAlign w:val="superscript"/>
        </w:rPr>
        <w:t>th</w:t>
      </w:r>
      <w:r w:rsidRPr="006A1F37">
        <w:t xml:space="preserve">. </w:t>
      </w:r>
      <w:r w:rsidR="004012D8" w:rsidRPr="006A1F37">
        <w:t xml:space="preserve">Details of participant attrition may be found in Chen et al. (2014). </w:t>
      </w:r>
      <w:r w:rsidRPr="006A1F37">
        <w:t xml:space="preserve">Because we are primarily interested in candidate preferences </w:t>
      </w:r>
      <w:r w:rsidR="004012D8">
        <w:t xml:space="preserve">that </w:t>
      </w:r>
      <w:r w:rsidR="004012D8">
        <w:rPr>
          <w:i/>
        </w:rPr>
        <w:t>preceded</w:t>
      </w:r>
      <w:r w:rsidRPr="006A1F37">
        <w:t xml:space="preserve"> the election</w:t>
      </w:r>
      <w:r w:rsidR="004012D8">
        <w:t xml:space="preserve">, </w:t>
      </w:r>
      <w:r w:rsidRPr="006A1F37">
        <w:t xml:space="preserve">our models only analyze responses across the first two waves. </w:t>
      </w:r>
    </w:p>
    <w:p w14:paraId="62AECF31" w14:textId="1E13D5EC" w:rsidR="003058B0" w:rsidRPr="006A1F37" w:rsidRDefault="004012D8" w:rsidP="003058B0">
      <w:pPr>
        <w:spacing w:line="480" w:lineRule="auto"/>
        <w:ind w:firstLine="720"/>
        <w:contextualSpacing/>
      </w:pPr>
      <w:r>
        <w:lastRenderedPageBreak/>
        <w:t>R</w:t>
      </w:r>
      <w:r w:rsidR="003058B0" w:rsidRPr="006A1F37">
        <w:t xml:space="preserve">espondents in the ANES panel were asked to complete monthly surveys for a period of 20 months in 2008-2009, </w:t>
      </w:r>
      <w:r>
        <w:t xml:space="preserve">but here we focus only on those waves that preceded the 2008 presidential election (i.e., </w:t>
      </w:r>
      <w:r w:rsidR="00394B28">
        <w:t>W</w:t>
      </w:r>
      <w:r>
        <w:t>aves 1-</w:t>
      </w:r>
      <w:r w:rsidR="00FE54C0">
        <w:t>10</w:t>
      </w:r>
      <w:r>
        <w:t>)</w:t>
      </w:r>
      <w:r w:rsidR="00FE54C0">
        <w:t>, and the measure of vote choice in Novembe</w:t>
      </w:r>
      <w:r w:rsidR="00394B28">
        <w:t>r 2008 (W</w:t>
      </w:r>
      <w:r w:rsidR="00FE54C0">
        <w:t>ave 11)</w:t>
      </w:r>
      <w:r>
        <w:t>.</w:t>
      </w:r>
      <w:r w:rsidR="00FE54C0">
        <w:t xml:space="preserve"> </w:t>
      </w:r>
    </w:p>
    <w:p w14:paraId="674F85C2" w14:textId="77777777" w:rsidR="003058B0" w:rsidRPr="006A1F37" w:rsidRDefault="003058B0" w:rsidP="003058B0">
      <w:pPr>
        <w:spacing w:line="480" w:lineRule="auto"/>
        <w:contextualSpacing/>
      </w:pPr>
      <w:r w:rsidRPr="006A1F37">
        <w:rPr>
          <w:b/>
        </w:rPr>
        <w:t>Design</w:t>
      </w:r>
    </w:p>
    <w:p w14:paraId="70CB4016" w14:textId="63FFBC5B" w:rsidR="003058B0" w:rsidRPr="006A1F37" w:rsidRDefault="003058B0" w:rsidP="003058B0">
      <w:pPr>
        <w:spacing w:line="480" w:lineRule="auto"/>
        <w:ind w:firstLine="720"/>
        <w:contextualSpacing/>
      </w:pPr>
      <w:r w:rsidRPr="006A1F37">
        <w:t>We employ a two-wave panel design in both datasets. Using the MN panel, we examine whether network disagreement moderates the relationship between candidate evaluations on the one hand and party identification and policy preferences on the other. Using the ANES panel, we extend this analysis to a larger, more representative sample and use</w:t>
      </w:r>
      <w:r w:rsidR="00D86997" w:rsidRPr="006A1F37">
        <w:t xml:space="preserve"> both candidate evaluations and</w:t>
      </w:r>
      <w:r w:rsidRPr="006A1F37">
        <w:t xml:space="preserve"> vote choice in the 2008 presidential election as the outcome</w:t>
      </w:r>
      <w:r w:rsidR="00D86997" w:rsidRPr="006A1F37">
        <w:t>s</w:t>
      </w:r>
      <w:r w:rsidRPr="006A1F37">
        <w:t xml:space="preserve"> of interest. </w:t>
      </w:r>
    </w:p>
    <w:p w14:paraId="3648CC80" w14:textId="00B3B4D9" w:rsidR="003058B0" w:rsidRPr="006A1F37" w:rsidRDefault="003058B0" w:rsidP="005427FF">
      <w:pPr>
        <w:spacing w:line="480" w:lineRule="auto"/>
        <w:ind w:firstLine="720"/>
        <w:contextualSpacing/>
      </w:pPr>
      <w:r w:rsidRPr="006A1F37">
        <w:t xml:space="preserve">Our two-wave panel design allows us to determine whether our predictors are associated with </w:t>
      </w:r>
      <w:r w:rsidRPr="006A1F37">
        <w:rPr>
          <w:i/>
        </w:rPr>
        <w:t>change</w:t>
      </w:r>
      <w:r w:rsidRPr="006A1F37">
        <w:t xml:space="preserve"> in candidate evaluations and vote intention over time. Controlling for initial candidate preferences in our models rules out the possibility that the observed associations are attributable to a “reverse causal” effect of candidate preferences on respondents’ social networks, party identification, or policy attitudes. </w:t>
      </w:r>
      <w:r w:rsidR="00282FA6">
        <w:t>Our models also</w:t>
      </w:r>
      <w:r w:rsidR="00282FA6" w:rsidRPr="006A1F37">
        <w:t xml:space="preserve"> allow us to control for the effects of any omitted variables whose effects are “baked in” to the dependent variable prior to our initial observation.</w:t>
      </w:r>
      <w:r w:rsidR="00282FA6">
        <w:t xml:space="preserve"> </w:t>
      </w:r>
      <w:r w:rsidRPr="006A1F37">
        <w:t xml:space="preserve">However, </w:t>
      </w:r>
      <w:r w:rsidR="00282FA6">
        <w:t>our analysis</w:t>
      </w:r>
      <w:r w:rsidRPr="006A1F37">
        <w:t xml:space="preserve"> does </w:t>
      </w:r>
      <w:r w:rsidRPr="006A1F37">
        <w:rPr>
          <w:i/>
        </w:rPr>
        <w:t>not</w:t>
      </w:r>
      <w:r w:rsidRPr="006A1F37">
        <w:t xml:space="preserve"> rule out the possibility that the people who choose to remain in </w:t>
      </w:r>
      <w:r w:rsidR="004D27A0">
        <w:t>high-disagreement</w:t>
      </w:r>
      <w:r w:rsidRPr="006A1F37">
        <w:t xml:space="preserve"> social networks are, because of some third variable, more likely to form candidate preferences on the basis of effortful considerations. Because the ANES and MN panels only assessed network composition in a single wave, we cannot use lagged models to formally test whether strong policy preferences, education, or political engagement influenced the composition of respondents’ networks. We can, however, control for some potential confounds and use cross-sectional data to determine the plausibility of alternative explanations.</w:t>
      </w:r>
      <w:r w:rsidR="005427FF">
        <w:t xml:space="preserve"> </w:t>
      </w:r>
    </w:p>
    <w:p w14:paraId="4A127F5F" w14:textId="77777777" w:rsidR="003058B0" w:rsidRPr="006A1F37" w:rsidRDefault="003058B0" w:rsidP="003058B0">
      <w:pPr>
        <w:spacing w:line="480" w:lineRule="auto"/>
        <w:contextualSpacing/>
      </w:pPr>
      <w:r w:rsidRPr="006A1F37">
        <w:rPr>
          <w:b/>
        </w:rPr>
        <w:lastRenderedPageBreak/>
        <w:t>Measures</w:t>
      </w:r>
    </w:p>
    <w:p w14:paraId="42AD30BC" w14:textId="77777777" w:rsidR="003058B0" w:rsidRPr="006A1F37" w:rsidRDefault="003058B0" w:rsidP="003058B0">
      <w:pPr>
        <w:spacing w:line="480" w:lineRule="auto"/>
        <w:ind w:firstLine="720"/>
        <w:contextualSpacing/>
      </w:pPr>
      <w:r w:rsidRPr="006A1F37">
        <w:t>We describe our key variables below. For consistency and ease of interpretation, all continuous predictors were rescaled to run from 0 to 1, except age (coded in years).</w:t>
      </w:r>
    </w:p>
    <w:p w14:paraId="0933723E" w14:textId="370306AA" w:rsidR="003058B0" w:rsidRPr="006A1F37" w:rsidRDefault="003058B0" w:rsidP="003058B0">
      <w:pPr>
        <w:spacing w:line="480" w:lineRule="auto"/>
        <w:ind w:firstLine="720"/>
        <w:contextualSpacing/>
      </w:pPr>
      <w:r w:rsidRPr="006A1F37">
        <w:rPr>
          <w:b/>
          <w:i/>
        </w:rPr>
        <w:t xml:space="preserve">Predictors. </w:t>
      </w:r>
      <w:r w:rsidR="00DF5853">
        <w:t>Recall that our focus is on respondents’</w:t>
      </w:r>
      <w:r w:rsidR="00DF5853">
        <w:rPr>
          <w:i/>
        </w:rPr>
        <w:t xml:space="preserve"> subjective experience of political disagreement with close others</w:t>
      </w:r>
      <w:r w:rsidR="00DF5853">
        <w:t>. We regard this construct as a combination of disagreement frequency and intensity—the extent to which individual</w:t>
      </w:r>
      <w:r w:rsidR="004C4665">
        <w:t>s feel their</w:t>
      </w:r>
      <w:r w:rsidR="00DF5853">
        <w:t xml:space="preserve"> views are challenged by their friends and family. </w:t>
      </w:r>
      <w:r w:rsidRPr="006A1F37">
        <w:t>The MN panel</w:t>
      </w:r>
      <w:r w:rsidR="00DF5853">
        <w:t>’s measure of disagreement,</w:t>
      </w:r>
      <w:r w:rsidRPr="006A1F37">
        <w:t xml:space="preserve"> assessed</w:t>
      </w:r>
      <w:r w:rsidR="00DF5853">
        <w:t xml:space="preserve"> </w:t>
      </w:r>
      <w:r w:rsidRPr="006A1F37">
        <w:t>in Wave 1</w:t>
      </w:r>
      <w:r w:rsidR="00DF5853">
        <w:t>, maps closely onto this construct. T</w:t>
      </w:r>
      <w:r w:rsidRPr="006A1F37">
        <w:t xml:space="preserve">hree unipolar items asked respondents to report how frequently they experienced disagreement with “those people [they] feel very close to, such as [their] family and close friends.” Respondents reported how many of these close others had different political views, how often close others expressed these </w:t>
      </w:r>
      <w:r w:rsidR="004D27A0">
        <w:t>different</w:t>
      </w:r>
      <w:r w:rsidRPr="006A1F37">
        <w:t xml:space="preserve"> views, and how often they themselves disagreed with their close others. We took the average of these items to form a composite scale of disagreement, with </w:t>
      </w:r>
      <w:r w:rsidR="00DF5853">
        <w:t>the highest</w:t>
      </w:r>
      <w:r w:rsidRPr="006A1F37">
        <w:t xml:space="preserve"> values indicating </w:t>
      </w:r>
      <w:r w:rsidR="00DF5853">
        <w:t xml:space="preserve">the most frequent </w:t>
      </w:r>
      <w:r w:rsidR="00DF5853" w:rsidRPr="00DF5853">
        <w:t>and</w:t>
      </w:r>
      <w:r w:rsidR="00DF5853">
        <w:t xml:space="preserve"> intense disagreement </w:t>
      </w:r>
      <w:r w:rsidRPr="006A1F37">
        <w:t>(</w:t>
      </w:r>
      <w:r w:rsidR="0077052F" w:rsidRPr="006A1F37">
        <w:t>α</w:t>
      </w:r>
      <w:r w:rsidRPr="006A1F37">
        <w:t>= 0.76).</w:t>
      </w:r>
      <w:r w:rsidR="004C4665">
        <w:rPr>
          <w:rStyle w:val="EndnoteReference"/>
        </w:rPr>
        <w:endnoteReference w:id="3"/>
      </w:r>
      <w:r w:rsidRPr="006A1F37">
        <w:t xml:space="preserve"> </w:t>
      </w:r>
      <w:r w:rsidR="002A4A46">
        <w:t>T</w:t>
      </w:r>
      <w:r w:rsidRPr="006A1F37">
        <w:t>he ANES panel</w:t>
      </w:r>
      <w:r w:rsidR="002A4A46">
        <w:t>’s measure less directly taps respondents’ personal experiences with political disagreement, but should still covary with that construct. ANES r</w:t>
      </w:r>
      <w:r w:rsidRPr="006A1F37">
        <w:t xml:space="preserve">espondents </w:t>
      </w:r>
      <w:r w:rsidR="002A4A46">
        <w:t xml:space="preserve">were asked </w:t>
      </w:r>
      <w:r w:rsidRPr="006A1F37">
        <w:t>to name up to 8 people with whom they frequently discussed politics</w:t>
      </w:r>
      <w:r w:rsidR="002A4A46">
        <w:t xml:space="preserve"> in the September 2008 wave</w:t>
      </w:r>
      <w:r w:rsidRPr="006A1F37">
        <w:t xml:space="preserve">. </w:t>
      </w:r>
      <w:r w:rsidR="002A4A46">
        <w:t xml:space="preserve">Respondents then indicated, for the first three people they named, </w:t>
      </w:r>
      <w:r w:rsidRPr="006A1F37">
        <w:t>“In general, how different are [Name’s] opinions about government and elections from your own views</w:t>
      </w:r>
      <w:r w:rsidR="002A4A46">
        <w:t>.</w:t>
      </w:r>
      <w:r w:rsidRPr="006A1F37">
        <w:t xml:space="preserve">” </w:t>
      </w:r>
      <w:r w:rsidR="00A00BCD" w:rsidRPr="006A1F37">
        <w:t>We calculate</w:t>
      </w:r>
      <w:r w:rsidR="00F1165F" w:rsidRPr="006A1F37">
        <w:t>d</w:t>
      </w:r>
      <w:r w:rsidR="00A00BCD" w:rsidRPr="006A1F37">
        <w:t xml:space="preserve"> the average disagreement reported by the respondent across up to three discussants</w:t>
      </w:r>
      <w:r w:rsidR="00F1165F" w:rsidRPr="006A1F37">
        <w:t>;</w:t>
      </w:r>
      <w:r w:rsidR="00A00BCD" w:rsidRPr="006A1F37">
        <w:t xml:space="preserve"> 2,117 respondents named at least one discussant, and are included in this measure.</w:t>
      </w:r>
      <w:r w:rsidR="00127070" w:rsidRPr="006A1F37">
        <w:rPr>
          <w:rStyle w:val="EndnoteReference"/>
        </w:rPr>
        <w:endnoteReference w:id="4"/>
      </w:r>
      <w:r w:rsidR="00127070" w:rsidRPr="006A1F37">
        <w:t xml:space="preserve"> </w:t>
      </w:r>
      <w:r w:rsidRPr="006A1F37">
        <w:t xml:space="preserve"> Both disagreement scales recorded substantial variance, though the ANES scale showed more positive skew than the MN panel measure (</w:t>
      </w:r>
      <w:r w:rsidRPr="006A1F37">
        <w:rPr>
          <w:i/>
        </w:rPr>
        <w:t>M</w:t>
      </w:r>
      <w:r w:rsidRPr="006A1F37">
        <w:rPr>
          <w:i/>
          <w:vertAlign w:val="subscript"/>
        </w:rPr>
        <w:t>MN</w:t>
      </w:r>
      <w:r w:rsidRPr="006A1F37">
        <w:t xml:space="preserve"> = 0.5</w:t>
      </w:r>
      <w:r w:rsidR="0086535C" w:rsidRPr="006A1F37">
        <w:t>4</w:t>
      </w:r>
      <w:r w:rsidRPr="006A1F37">
        <w:t xml:space="preserve">, </w:t>
      </w:r>
      <w:r w:rsidRPr="006A1F37">
        <w:rPr>
          <w:i/>
        </w:rPr>
        <w:t>SD</w:t>
      </w:r>
      <w:r w:rsidRPr="006A1F37">
        <w:rPr>
          <w:i/>
          <w:vertAlign w:val="subscript"/>
        </w:rPr>
        <w:t>MN</w:t>
      </w:r>
      <w:r w:rsidRPr="006A1F37">
        <w:t xml:space="preserve"> = 0.2</w:t>
      </w:r>
      <w:r w:rsidR="0086535C" w:rsidRPr="006A1F37">
        <w:t>1</w:t>
      </w:r>
      <w:r w:rsidRPr="006A1F37">
        <w:t xml:space="preserve">; </w:t>
      </w:r>
      <w:r w:rsidRPr="006A1F37">
        <w:rPr>
          <w:i/>
        </w:rPr>
        <w:t>M</w:t>
      </w:r>
      <w:r w:rsidRPr="006A1F37">
        <w:rPr>
          <w:i/>
          <w:vertAlign w:val="subscript"/>
        </w:rPr>
        <w:t>ANES</w:t>
      </w:r>
      <w:r w:rsidRPr="006A1F37">
        <w:t xml:space="preserve"> = 0.31, </w:t>
      </w:r>
      <w:r w:rsidRPr="006A1F37">
        <w:rPr>
          <w:i/>
        </w:rPr>
        <w:t>SD</w:t>
      </w:r>
      <w:r w:rsidRPr="006A1F37">
        <w:rPr>
          <w:i/>
          <w:vertAlign w:val="subscript"/>
        </w:rPr>
        <w:t>ANES</w:t>
      </w:r>
      <w:r w:rsidRPr="006A1F37">
        <w:t xml:space="preserve"> = 0.20). See Appendix A for verbatim wording of both the MN and ANES items.</w:t>
      </w:r>
    </w:p>
    <w:p w14:paraId="15B2751D" w14:textId="69989BD4" w:rsidR="003058B0" w:rsidRPr="006A1F37" w:rsidRDefault="00394B28" w:rsidP="003058B0">
      <w:pPr>
        <w:spacing w:line="480" w:lineRule="auto"/>
        <w:ind w:firstLine="720"/>
        <w:contextualSpacing/>
      </w:pPr>
      <w:bookmarkStart w:id="2" w:name="_Hlk2171991"/>
      <w:r>
        <w:lastRenderedPageBreak/>
        <w:t xml:space="preserve">Our measures of </w:t>
      </w:r>
      <w:r>
        <w:rPr>
          <w:i/>
        </w:rPr>
        <w:t xml:space="preserve">policy preferences </w:t>
      </w:r>
      <w:r>
        <w:t xml:space="preserve">are meant to capture participants’ attitudes about key </w:t>
      </w:r>
      <w:r w:rsidR="0008713A">
        <w:t xml:space="preserve">issues </w:t>
      </w:r>
      <w:r w:rsidR="00103DFD">
        <w:t xml:space="preserve">that </w:t>
      </w:r>
      <w:r w:rsidR="0008713A">
        <w:t>distinguish</w:t>
      </w:r>
      <w:r w:rsidR="00103DFD">
        <w:t>ed</w:t>
      </w:r>
      <w:r w:rsidR="0008713A">
        <w:t xml:space="preserve"> the candidates in </w:t>
      </w:r>
      <w:r w:rsidR="00103DFD">
        <w:t>each</w:t>
      </w:r>
      <w:r w:rsidR="0008713A">
        <w:t xml:space="preserve"> election</w:t>
      </w:r>
      <w:r>
        <w:t xml:space="preserve">. </w:t>
      </w:r>
      <w:r w:rsidR="0008713A">
        <w:t>According to</w:t>
      </w:r>
      <w:r w:rsidR="00103DFD">
        <w:t xml:space="preserve"> Gallup </w:t>
      </w:r>
      <w:r w:rsidR="002D25EF">
        <w:t>(</w:t>
      </w:r>
      <w:r w:rsidR="00521BF5">
        <w:t xml:space="preserve">Saad, </w:t>
      </w:r>
      <w:r w:rsidR="002D25EF">
        <w:t>2012)</w:t>
      </w:r>
      <w:r w:rsidR="00103DFD">
        <w:t xml:space="preserve">, </w:t>
      </w:r>
      <w:r w:rsidR="002D25EF">
        <w:t xml:space="preserve">the economy, unemployment, and the federal deficit </w:t>
      </w:r>
      <w:r w:rsidR="00103DFD">
        <w:t>evoked the most public concern in the 2012</w:t>
      </w:r>
      <w:r w:rsidR="002D25EF">
        <w:t xml:space="preserve"> election.</w:t>
      </w:r>
      <w:r w:rsidR="002D25EF">
        <w:rPr>
          <w:rStyle w:val="EndnoteReference"/>
        </w:rPr>
        <w:endnoteReference w:id="5"/>
      </w:r>
      <w:r w:rsidR="00103DFD">
        <w:t xml:space="preserve"> </w:t>
      </w:r>
      <w:r w:rsidR="002D25EF">
        <w:t>Wave 1 of the MN</w:t>
      </w:r>
      <w:r w:rsidR="003058B0" w:rsidRPr="006A1F37">
        <w:t xml:space="preserve"> panel</w:t>
      </w:r>
      <w:r w:rsidR="002D25EF">
        <w:t xml:space="preserve"> included four policy</w:t>
      </w:r>
      <w:r>
        <w:t xml:space="preserve"> </w:t>
      </w:r>
      <w:r w:rsidR="003058B0" w:rsidRPr="006A1F37">
        <w:t>items</w:t>
      </w:r>
      <w:r w:rsidR="002D25EF">
        <w:t>,</w:t>
      </w:r>
      <w:r w:rsidR="003058B0" w:rsidRPr="006A1F37">
        <w:t xml:space="preserve"> </w:t>
      </w:r>
      <w:r>
        <w:t>measuring attitudes about</w:t>
      </w:r>
      <w:r w:rsidRPr="006A1F37">
        <w:t xml:space="preserve"> </w:t>
      </w:r>
      <w:r w:rsidR="003058B0" w:rsidRPr="006A1F37">
        <w:t>government spending</w:t>
      </w:r>
      <w:r>
        <w:t xml:space="preserve"> on services,</w:t>
      </w:r>
      <w:r w:rsidR="003058B0" w:rsidRPr="006A1F37">
        <w:t xml:space="preserve"> national defense, guaranteeing jobs,</w:t>
      </w:r>
      <w:r>
        <w:t xml:space="preserve"> and the environment. </w:t>
      </w:r>
      <w:r w:rsidR="002D25EF">
        <w:t xml:space="preserve">We included them all, and </w:t>
      </w:r>
      <w:r w:rsidR="003058B0" w:rsidRPr="006A1F37">
        <w:t xml:space="preserve">averaged </w:t>
      </w:r>
      <w:r w:rsidR="002D25EF">
        <w:t>them to</w:t>
      </w:r>
      <w:r w:rsidR="003058B0" w:rsidRPr="006A1F37">
        <w:t xml:space="preserve"> form a composite scale of respondents’ policy attitudes</w:t>
      </w:r>
      <w:r w:rsidR="002D25EF">
        <w:t>. H</w:t>
      </w:r>
      <w:r w:rsidR="003058B0" w:rsidRPr="006A1F37">
        <w:t xml:space="preserve">igher </w:t>
      </w:r>
      <w:r w:rsidR="002D25EF">
        <w:t>scor</w:t>
      </w:r>
      <w:r w:rsidR="003058B0" w:rsidRPr="006A1F37">
        <w:t>es indicat</w:t>
      </w:r>
      <w:r w:rsidR="002D25EF">
        <w:t>e</w:t>
      </w:r>
      <w:r w:rsidR="003058B0" w:rsidRPr="006A1F37">
        <w:t xml:space="preserve"> more conservative policy preferences (α = 0.7</w:t>
      </w:r>
      <w:r w:rsidR="00621650" w:rsidRPr="006A1F37">
        <w:t>8</w:t>
      </w:r>
      <w:r w:rsidR="003058B0" w:rsidRPr="006A1F37">
        <w:t>).</w:t>
      </w:r>
      <w:r w:rsidR="00155707">
        <w:rPr>
          <w:rStyle w:val="EndnoteReference"/>
        </w:rPr>
        <w:endnoteReference w:id="6"/>
      </w:r>
      <w:r w:rsidR="003058B0" w:rsidRPr="006A1F37">
        <w:t xml:space="preserve"> </w:t>
      </w:r>
      <w:r w:rsidR="002D25EF">
        <w:t>In 2008, the economy, terrorism, healthcare, and taxes were perceived as the most important issues (</w:t>
      </w:r>
      <w:r w:rsidR="00862DAC">
        <w:t>Saad</w:t>
      </w:r>
      <w:r w:rsidR="002D25EF">
        <w:t>, 2008). The first (</w:t>
      </w:r>
      <w:r w:rsidR="006A0425" w:rsidRPr="006A1F37">
        <w:t xml:space="preserve">January </w:t>
      </w:r>
      <w:r w:rsidR="003058B0" w:rsidRPr="006A1F37">
        <w:t>2008</w:t>
      </w:r>
      <w:r w:rsidR="002D25EF">
        <w:t xml:space="preserve">) wave of </w:t>
      </w:r>
      <w:r w:rsidR="003058B0" w:rsidRPr="006A1F37">
        <w:t xml:space="preserve">the ANES panel measured </w:t>
      </w:r>
      <w:r>
        <w:t>9</w:t>
      </w:r>
      <w:r w:rsidR="003058B0" w:rsidRPr="006A1F37">
        <w:t xml:space="preserve"> policy issues, listed in Appendix A.</w:t>
      </w:r>
      <w:r w:rsidR="009C7ECC">
        <w:t xml:space="preserve"> </w:t>
      </w:r>
      <w:r w:rsidR="00125A43">
        <w:t>W</w:t>
      </w:r>
      <w:r w:rsidR="009C7ECC">
        <w:t>e limit</w:t>
      </w:r>
      <w:r w:rsidR="00125A43">
        <w:t>ed</w:t>
      </w:r>
      <w:r w:rsidR="009C7ECC">
        <w:t xml:space="preserve"> our measure of policy preferences to 5 items relating to </w:t>
      </w:r>
      <w:r w:rsidR="00521BF5">
        <w:t>terrorism, healthcare, and taxes</w:t>
      </w:r>
      <w:r w:rsidR="009C7ECC">
        <w:t>.</w:t>
      </w:r>
      <w:r w:rsidR="009C7ECC">
        <w:rPr>
          <w:rStyle w:val="EndnoteReference"/>
        </w:rPr>
        <w:endnoteReference w:id="7"/>
      </w:r>
      <w:r w:rsidR="003058B0" w:rsidRPr="006A1F37">
        <w:t xml:space="preserve"> Again, these items were averaged to form a composite scale of policy attitudes, with higher values corresponding to more conservative preferences (α = 0.</w:t>
      </w:r>
      <w:r w:rsidR="004F55E8">
        <w:t>59</w:t>
      </w:r>
      <w:r w:rsidR="003058B0" w:rsidRPr="006A1F37">
        <w:t>).</w:t>
      </w:r>
      <w:r w:rsidR="00127070" w:rsidRPr="006A1F37">
        <w:t xml:space="preserve"> </w:t>
      </w:r>
    </w:p>
    <w:bookmarkEnd w:id="2"/>
    <w:p w14:paraId="7A43A309" w14:textId="74F66F23" w:rsidR="003058B0" w:rsidRPr="006A1F37" w:rsidRDefault="003058B0" w:rsidP="003058B0">
      <w:pPr>
        <w:spacing w:line="480" w:lineRule="auto"/>
        <w:ind w:firstLine="720"/>
        <w:contextualSpacing/>
      </w:pPr>
      <w:r w:rsidRPr="006A1F37">
        <w:t xml:space="preserve">Both the ANES and MN panels measured </w:t>
      </w:r>
      <w:r w:rsidRPr="006A1F37">
        <w:rPr>
          <w:i/>
        </w:rPr>
        <w:t>party identification</w:t>
      </w:r>
      <w:r w:rsidRPr="006A1F37">
        <w:rPr>
          <w:b/>
          <w:i/>
        </w:rPr>
        <w:t xml:space="preserve"> </w:t>
      </w:r>
      <w:r w:rsidRPr="006A1F37">
        <w:t xml:space="preserve">using the standard ANES branching scale. The MN panel assessed party identification in Wave 1. In ANES analyses, we use party identification as measured in </w:t>
      </w:r>
      <w:r w:rsidR="0024327B" w:rsidRPr="006A1F37">
        <w:t xml:space="preserve">January </w:t>
      </w:r>
      <w:r w:rsidRPr="006A1F37">
        <w:t>2008. In all analyses, this variable is a 7-point scale running from 0 (strong Democrat) to 1 (strong Republican).</w:t>
      </w:r>
    </w:p>
    <w:p w14:paraId="0FD297BE" w14:textId="1CF7EA37" w:rsidR="003058B0" w:rsidRPr="006A1F37" w:rsidRDefault="003058B0" w:rsidP="003058B0">
      <w:pPr>
        <w:spacing w:line="480" w:lineRule="auto"/>
        <w:ind w:firstLine="720"/>
        <w:contextualSpacing/>
      </w:pPr>
      <w:r w:rsidRPr="006A1F37">
        <w:rPr>
          <w:b/>
          <w:i/>
        </w:rPr>
        <w:t>Outcomes</w:t>
      </w:r>
      <w:r w:rsidRPr="006A1F37">
        <w:t xml:space="preserve">. </w:t>
      </w:r>
      <w:r w:rsidR="00F430FF" w:rsidRPr="006A1F37">
        <w:t>We use two measures of</w:t>
      </w:r>
      <w:r w:rsidR="00A10A43" w:rsidRPr="006A1F37">
        <w:t xml:space="preserve"> </w:t>
      </w:r>
      <w:r w:rsidRPr="006A1F37">
        <w:t>participants’ candidate preferences</w:t>
      </w:r>
      <w:r w:rsidR="00621650" w:rsidRPr="006A1F37">
        <w:t>.</w:t>
      </w:r>
      <w:r w:rsidRPr="006A1F37">
        <w:t xml:space="preserve"> In both pre-election waves of the MN Panel, respondents reported their</w:t>
      </w:r>
      <w:r w:rsidRPr="006A1F37">
        <w:rPr>
          <w:i/>
        </w:rPr>
        <w:t xml:space="preserve"> global evaluations</w:t>
      </w:r>
      <w:r w:rsidRPr="006A1F37">
        <w:t xml:space="preserve"> of the candidates using 100-point feeling thermometers (FT). Our outcome variable is the difference between the two candidate feeling thermometers (Obama FT - Romney FT). Higher values thus indicate greater favorability toward Obama compared to Romney. As with the other continuous variables, the resulting FT difference scores were rescaled to run from 0 (greatest Romney preference) to 1 (greatest Obama preference). </w:t>
      </w:r>
      <w:r w:rsidR="00094EDD" w:rsidRPr="006A1F37">
        <w:t xml:space="preserve">In the ANES, participants were asked branched questions about </w:t>
      </w:r>
      <w:r w:rsidR="00094EDD" w:rsidRPr="006A1F37">
        <w:lastRenderedPageBreak/>
        <w:t>how much they liked or disliked a given candidate</w:t>
      </w:r>
      <w:r w:rsidR="0024327B" w:rsidRPr="006A1F37">
        <w:t xml:space="preserve"> i</w:t>
      </w:r>
      <w:r w:rsidR="00094EDD" w:rsidRPr="006A1F37">
        <w:t>n Wave 1 (January) and again in Wave 10 (October). Our outcome variable is again the difference between evaluations of the</w:t>
      </w:r>
      <w:r w:rsidR="0024327B" w:rsidRPr="006A1F37">
        <w:t xml:space="preserve"> eventual</w:t>
      </w:r>
      <w:r w:rsidR="00094EDD" w:rsidRPr="006A1F37">
        <w:t xml:space="preserve"> major party candidates</w:t>
      </w:r>
      <w:r w:rsidR="00521BF5">
        <w:t>—</w:t>
      </w:r>
      <w:r w:rsidR="00094EDD" w:rsidRPr="006A1F37">
        <w:t>in this case Obama and McCain. We rescale</w:t>
      </w:r>
      <w:r w:rsidR="00A3076A" w:rsidRPr="006A1F37">
        <w:t>d</w:t>
      </w:r>
      <w:r w:rsidR="00094EDD" w:rsidRPr="006A1F37">
        <w:t xml:space="preserve"> these difference scores to run from 0 (greatest McCain preference) to 1 (greatest Obama preference). </w:t>
      </w:r>
    </w:p>
    <w:p w14:paraId="1D141716" w14:textId="2466D194" w:rsidR="003058B0" w:rsidRPr="006A1F37" w:rsidRDefault="00A10A43" w:rsidP="003058B0">
      <w:pPr>
        <w:spacing w:line="480" w:lineRule="auto"/>
        <w:ind w:firstLine="720"/>
        <w:contextualSpacing/>
      </w:pPr>
      <w:r w:rsidRPr="006A1F37">
        <w:t>Vote choice is a less sensitive variable than candidate evaluations but more directly represents the outcome of citizens’ political decision-making. Unfortunately, vote</w:t>
      </w:r>
      <w:r w:rsidR="003058B0" w:rsidRPr="006A1F37">
        <w:t xml:space="preserve"> choice in the MN Panel </w:t>
      </w:r>
      <w:r w:rsidR="00094EDD" w:rsidRPr="006A1F37">
        <w:t xml:space="preserve">was </w:t>
      </w:r>
      <w:r w:rsidR="003058B0" w:rsidRPr="006A1F37">
        <w:t>remarkably consistent–</w:t>
      </w:r>
      <w:r w:rsidR="00D73FA8">
        <w:t xml:space="preserve">of </w:t>
      </w:r>
      <w:r w:rsidR="00521BF5">
        <w:t>those participants with complete data</w:t>
      </w:r>
      <w:r w:rsidR="00D73FA8">
        <w:t xml:space="preserve">, </w:t>
      </w:r>
      <w:r w:rsidR="003058B0" w:rsidRPr="006A1F37">
        <w:t xml:space="preserve">only </w:t>
      </w:r>
      <w:r w:rsidR="00D73FA8">
        <w:t>7</w:t>
      </w:r>
      <w:r w:rsidR="003058B0" w:rsidRPr="006A1F37">
        <w:t xml:space="preserve"> switched their vote choice between Romney and Obama between Waves 1 and 3. </w:t>
      </w:r>
      <w:r w:rsidR="008C4096" w:rsidRPr="006A1F37">
        <w:t>The greater variation in the ANES all</w:t>
      </w:r>
      <w:r w:rsidR="003058B0" w:rsidRPr="006A1F37">
        <w:t>ows us to examine change in vote choice</w:t>
      </w:r>
      <w:r w:rsidR="00554480" w:rsidRPr="006A1F37">
        <w:t xml:space="preserve"> from vote intention (reported in September) to vote choice (reported in November)</w:t>
      </w:r>
      <w:r w:rsidR="003058B0" w:rsidRPr="006A1F37">
        <w:t>.</w:t>
      </w:r>
      <w:r w:rsidR="00127070" w:rsidRPr="006A1F37">
        <w:rPr>
          <w:rStyle w:val="EndnoteReference"/>
        </w:rPr>
        <w:endnoteReference w:id="8"/>
      </w:r>
      <w:r w:rsidR="00127070" w:rsidRPr="006A1F37">
        <w:rPr>
          <w:rStyle w:val="EndnoteReference"/>
        </w:rPr>
        <w:t xml:space="preserve"> </w:t>
      </w:r>
    </w:p>
    <w:p w14:paraId="26C67046" w14:textId="4942B05B" w:rsidR="003058B0" w:rsidRPr="006A1F37" w:rsidRDefault="003058B0" w:rsidP="003058B0">
      <w:pPr>
        <w:spacing w:line="480" w:lineRule="auto"/>
        <w:ind w:firstLine="720"/>
        <w:contextualSpacing/>
      </w:pPr>
      <w:r w:rsidRPr="006A1F37">
        <w:rPr>
          <w:b/>
          <w:i/>
        </w:rPr>
        <w:t>Control variables.</w:t>
      </w:r>
      <w:r w:rsidRPr="006A1F37">
        <w:t xml:space="preserve"> To control for the effects of demographics and other potentially confounding variables, our models include respondents’ </w:t>
      </w:r>
      <w:r w:rsidRPr="006A1F37">
        <w:rPr>
          <w:i/>
        </w:rPr>
        <w:t>age</w:t>
      </w:r>
      <w:r w:rsidRPr="006A1F37">
        <w:t xml:space="preserve"> </w:t>
      </w:r>
      <w:r w:rsidR="005C14E0">
        <w:t xml:space="preserve">on election day </w:t>
      </w:r>
      <w:r w:rsidRPr="006A1F37">
        <w:t xml:space="preserve">(in years), </w:t>
      </w:r>
      <w:r w:rsidRPr="006A1F37">
        <w:rPr>
          <w:i/>
        </w:rPr>
        <w:t>income</w:t>
      </w:r>
      <w:r w:rsidRPr="006A1F37">
        <w:t xml:space="preserve"> (19 ordered categories, recoded as 0-1), </w:t>
      </w:r>
      <w:r w:rsidRPr="006A1F37">
        <w:rPr>
          <w:i/>
        </w:rPr>
        <w:t>gender</w:t>
      </w:r>
      <w:r w:rsidRPr="006A1F37">
        <w:t xml:space="preserve"> (0 = female, 1 = male), </w:t>
      </w:r>
      <w:r w:rsidRPr="006A1F37">
        <w:rPr>
          <w:i/>
        </w:rPr>
        <w:t>education</w:t>
      </w:r>
      <w:r w:rsidRPr="006A1F37">
        <w:t xml:space="preserve"> (8 ordered categories, recoded as 0-1), and whether the respondent was </w:t>
      </w:r>
      <w:r w:rsidRPr="006A1F37">
        <w:rPr>
          <w:i/>
        </w:rPr>
        <w:t>non-white</w:t>
      </w:r>
      <w:r w:rsidRPr="006A1F37">
        <w:t xml:space="preserve"> (0 = no, 1 = yes). In the MN panel, all control variables were measured in Wave 1. In the ANES, demographic variables were derived from responses to multiple waves, but</w:t>
      </w:r>
      <w:r w:rsidR="005E4750">
        <w:t xml:space="preserve"> are unlikely to have changed</w:t>
      </w:r>
      <w:r w:rsidR="00CD24A1">
        <w:t xml:space="preserve"> during this period.</w:t>
      </w:r>
    </w:p>
    <w:p w14:paraId="25CDF9A2" w14:textId="081BEAA9" w:rsidR="003058B0" w:rsidRPr="006A1F37" w:rsidRDefault="003058B0" w:rsidP="003058B0">
      <w:pPr>
        <w:spacing w:line="480" w:lineRule="auto"/>
        <w:ind w:firstLine="720"/>
        <w:contextualSpacing/>
      </w:pPr>
      <w:r w:rsidRPr="006A1F37">
        <w:t xml:space="preserve">In </w:t>
      </w:r>
      <w:r w:rsidR="001F184A">
        <w:t>Appendix B</w:t>
      </w:r>
      <w:r w:rsidRPr="006A1F37">
        <w:t xml:space="preserve">, we include balance tests that assess whether </w:t>
      </w:r>
      <w:r w:rsidR="00E5183E" w:rsidRPr="006A1F37">
        <w:t xml:space="preserve">each of these control variables varied as a function of </w:t>
      </w:r>
      <w:r w:rsidRPr="006A1F37">
        <w:t xml:space="preserve">network disagreement (Table </w:t>
      </w:r>
      <w:r w:rsidR="00624029">
        <w:t>B</w:t>
      </w:r>
      <w:r w:rsidR="00155707">
        <w:t>5</w:t>
      </w:r>
      <w:r w:rsidRPr="006A1F37">
        <w:t xml:space="preserve">). We also present models with controls omitted—the results are substantively identical </w:t>
      </w:r>
      <w:r w:rsidR="00A3076A" w:rsidRPr="006A1F37">
        <w:t xml:space="preserve">in both cases </w:t>
      </w:r>
      <w:r w:rsidRPr="006A1F37">
        <w:t xml:space="preserve">(Tables </w:t>
      </w:r>
      <w:r w:rsidR="00624029">
        <w:t>B</w:t>
      </w:r>
      <w:r w:rsidR="00155707">
        <w:t>6</w:t>
      </w:r>
      <w:r w:rsidR="00E354D5">
        <w:t>-8</w:t>
      </w:r>
      <w:r w:rsidRPr="006A1F37">
        <w:t xml:space="preserve">). </w:t>
      </w:r>
    </w:p>
    <w:p w14:paraId="69EE8B46" w14:textId="77777777" w:rsidR="003058B0" w:rsidRPr="006A1F37" w:rsidRDefault="003058B0" w:rsidP="003058B0">
      <w:pPr>
        <w:spacing w:line="480" w:lineRule="auto"/>
        <w:contextualSpacing/>
        <w:jc w:val="center"/>
        <w:rPr>
          <w:b/>
        </w:rPr>
      </w:pPr>
      <w:r w:rsidRPr="006A1F37">
        <w:rPr>
          <w:b/>
        </w:rPr>
        <w:t>Results</w:t>
      </w:r>
    </w:p>
    <w:p w14:paraId="7F61EAF2" w14:textId="77777777" w:rsidR="003058B0" w:rsidRPr="006A1F37" w:rsidRDefault="003058B0" w:rsidP="003058B0">
      <w:pPr>
        <w:spacing w:line="480" w:lineRule="auto"/>
        <w:contextualSpacing/>
        <w:rPr>
          <w:b/>
        </w:rPr>
      </w:pPr>
      <w:r w:rsidRPr="006A1F37">
        <w:rPr>
          <w:b/>
        </w:rPr>
        <w:t>MN Panel Results: Network Disagreement and Candidate Evaluations</w:t>
      </w:r>
    </w:p>
    <w:p w14:paraId="6A7F430B" w14:textId="32060786" w:rsidR="003058B0" w:rsidRPr="006A1F37" w:rsidRDefault="003058B0" w:rsidP="003058B0">
      <w:pPr>
        <w:spacing w:line="480" w:lineRule="auto"/>
        <w:ind w:firstLine="720"/>
        <w:contextualSpacing/>
      </w:pPr>
      <w:r w:rsidRPr="006A1F37">
        <w:lastRenderedPageBreak/>
        <w:t xml:space="preserve">We predicted that respondents who reported more disagreement within their social networks would shift their candidate preferences to align with their policy preferences rather than with their party identification. Note that respondents’ policy preferences and partisanship were </w:t>
      </w:r>
      <w:r w:rsidR="00852E0A">
        <w:t xml:space="preserve">related but </w:t>
      </w:r>
      <w:r w:rsidRPr="006A1F37">
        <w:t>empirically distinct</w:t>
      </w:r>
      <w:r w:rsidR="00852E0A">
        <w:t xml:space="preserve"> (</w:t>
      </w:r>
      <w:r w:rsidR="00852E0A">
        <w:rPr>
          <w:i/>
        </w:rPr>
        <w:t>r</w:t>
      </w:r>
      <w:r w:rsidR="00852E0A">
        <w:t xml:space="preserve"> = 0.64, </w:t>
      </w:r>
      <w:r w:rsidRPr="006A1F37">
        <w:rPr>
          <w:i/>
        </w:rPr>
        <w:t>p</w:t>
      </w:r>
      <w:r w:rsidR="00155707">
        <w:t xml:space="preserve"> &lt; .001). See Appendix B, Figure </w:t>
      </w:r>
      <w:r w:rsidR="00624029">
        <w:t>B</w:t>
      </w:r>
      <w:r w:rsidR="00155707">
        <w:t>2</w:t>
      </w:r>
      <w:r w:rsidR="00852E0A">
        <w:t xml:space="preserve"> for details.</w:t>
      </w:r>
      <w:r w:rsidR="00852E0A" w:rsidRPr="006A1F37">
        <w:t xml:space="preserve"> </w:t>
      </w:r>
    </w:p>
    <w:p w14:paraId="2434238E" w14:textId="77777777" w:rsidR="00ED167D" w:rsidRPr="00ED167D" w:rsidRDefault="00ED167D" w:rsidP="00ED167D">
      <w:pPr>
        <w:spacing w:line="480" w:lineRule="auto"/>
        <w:ind w:firstLine="720"/>
        <w:contextualSpacing/>
      </w:pPr>
      <w:r w:rsidRPr="00ED167D">
        <w:t>To test our key predictions, we regressed respondents’ Wave 2 candidate evaluations (as measured by the FT difference score) on Wave 1 evaluations, key predictor variables (i.e., policy preferences and party identification), controls, and on interactions between network disagreement and each key predictor variable. Our predictions were supported (see Table 1 for estimates).</w:t>
      </w:r>
    </w:p>
    <w:p w14:paraId="2CF09887" w14:textId="3DC00C42" w:rsidR="00ED167D" w:rsidRPr="00ED167D" w:rsidRDefault="00ED167D" w:rsidP="00862825">
      <w:pPr>
        <w:spacing w:line="480" w:lineRule="auto"/>
        <w:ind w:firstLine="720"/>
        <w:contextualSpacing/>
      </w:pPr>
      <w:r w:rsidRPr="00ED167D">
        <w:t xml:space="preserve">Significant interactions emerged between disagreement and policy preferences and between disagreement and party identification (both </w:t>
      </w:r>
      <w:proofErr w:type="spellStart"/>
      <w:r w:rsidRPr="00ED167D">
        <w:rPr>
          <w:i/>
        </w:rPr>
        <w:t>p</w:t>
      </w:r>
      <w:r w:rsidRPr="00ED167D">
        <w:t>s</w:t>
      </w:r>
      <w:proofErr w:type="spellEnd"/>
      <w:r w:rsidRPr="00ED167D">
        <w:t xml:space="preserve"> &lt; </w:t>
      </w:r>
      <w:r w:rsidR="0065345A">
        <w:t>0</w:t>
      </w:r>
      <w:r w:rsidRPr="00ED167D">
        <w:t xml:space="preserve">.01). These relationships are substantively large. Among respondents who </w:t>
      </w:r>
      <w:r w:rsidR="00F37650">
        <w:t>reported experiencing relatively little disagreement</w:t>
      </w:r>
      <w:r w:rsidRPr="00ED167D">
        <w:t xml:space="preserve"> with their friends and family</w:t>
      </w:r>
      <w:r w:rsidR="007C567E">
        <w:t xml:space="preserve"> (1 SD below the scale mean)</w:t>
      </w:r>
      <w:r w:rsidRPr="00ED167D">
        <w:t>, Republican Party identification predicted change in candidate evaluations from Wave 1 to Wave 2</w:t>
      </w:r>
      <w:r w:rsidR="00565F83">
        <w:t xml:space="preserve"> (</w:t>
      </w:r>
      <w:r w:rsidR="00565F83">
        <w:rPr>
          <w:i/>
        </w:rPr>
        <w:t>b</w:t>
      </w:r>
      <w:r w:rsidR="00565F83">
        <w:t xml:space="preserve"> = </w:t>
      </w:r>
      <w:r w:rsidR="00862825">
        <w:t>-</w:t>
      </w:r>
      <w:r w:rsidR="00565F83">
        <w:t xml:space="preserve">0.13, </w:t>
      </w:r>
      <w:r w:rsidR="00565F83">
        <w:rPr>
          <w:i/>
        </w:rPr>
        <w:t>p</w:t>
      </w:r>
      <w:r w:rsidR="00565F83">
        <w:t xml:space="preserve"> &lt; 0.01). The effect of </w:t>
      </w:r>
      <w:r w:rsidRPr="00ED167D">
        <w:t xml:space="preserve">policy preferences </w:t>
      </w:r>
      <w:r w:rsidR="00565F83">
        <w:t>(</w:t>
      </w:r>
      <w:r w:rsidR="00565F83">
        <w:rPr>
          <w:i/>
        </w:rPr>
        <w:t>b</w:t>
      </w:r>
      <w:r w:rsidR="00565F83">
        <w:t xml:space="preserve"> = </w:t>
      </w:r>
      <w:r w:rsidR="00862825">
        <w:t>-</w:t>
      </w:r>
      <w:r w:rsidR="00565F83">
        <w:t xml:space="preserve">0.08, </w:t>
      </w:r>
      <w:r w:rsidR="00565F83">
        <w:rPr>
          <w:i/>
        </w:rPr>
        <w:t>p</w:t>
      </w:r>
      <w:r w:rsidR="00565F83">
        <w:t xml:space="preserve"> &lt; 0.01) was weaker than that of partisanship under these circumstances</w:t>
      </w:r>
      <w:r w:rsidRPr="00ED167D">
        <w:t>.</w:t>
      </w:r>
      <w:r w:rsidR="00127070" w:rsidRPr="00ED167D">
        <w:rPr>
          <w:vertAlign w:val="superscript"/>
        </w:rPr>
        <w:endnoteReference w:id="9"/>
      </w:r>
      <w:r w:rsidR="00127070" w:rsidRPr="00ED167D">
        <w:t xml:space="preserve"> </w:t>
      </w:r>
      <w:r w:rsidRPr="00ED167D">
        <w:t xml:space="preserve">Among respondents who tended to </w:t>
      </w:r>
      <w:r w:rsidRPr="00ED167D">
        <w:rPr>
          <w:i/>
        </w:rPr>
        <w:t>disagree</w:t>
      </w:r>
      <w:r w:rsidRPr="00ED167D">
        <w:t xml:space="preserve"> with their close </w:t>
      </w:r>
      <w:r w:rsidR="007C567E">
        <w:t>others (1 SD above the scale mean)</w:t>
      </w:r>
      <w:r w:rsidR="00565F83">
        <w:t xml:space="preserve">, the effect of partisanship </w:t>
      </w:r>
      <w:r w:rsidR="00862825">
        <w:t>was reduced to non-significance (</w:t>
      </w:r>
      <w:r w:rsidR="00862825" w:rsidRPr="00862825">
        <w:rPr>
          <w:i/>
        </w:rPr>
        <w:t>b</w:t>
      </w:r>
      <w:r w:rsidR="00862825">
        <w:rPr>
          <w:i/>
        </w:rPr>
        <w:t xml:space="preserve"> = -</w:t>
      </w:r>
      <w:r w:rsidR="00862825" w:rsidRPr="00862825">
        <w:t>0.02</w:t>
      </w:r>
      <w:r w:rsidR="0065345A">
        <w:t xml:space="preserve">, </w:t>
      </w:r>
      <w:r w:rsidR="0065345A">
        <w:rPr>
          <w:i/>
        </w:rPr>
        <w:t>p</w:t>
      </w:r>
      <w:r w:rsidR="0065345A">
        <w:t xml:space="preserve"> = 0.39</w:t>
      </w:r>
      <w:r w:rsidR="00862825">
        <w:t xml:space="preserve">). Meanwhile, the effect of </w:t>
      </w:r>
      <w:r w:rsidRPr="00862825">
        <w:t xml:space="preserve">policy </w:t>
      </w:r>
      <w:r w:rsidRPr="00ED167D">
        <w:t xml:space="preserve">preferences </w:t>
      </w:r>
      <w:r w:rsidR="00862825">
        <w:t>(</w:t>
      </w:r>
      <w:r w:rsidR="00862825">
        <w:rPr>
          <w:i/>
        </w:rPr>
        <w:t>b</w:t>
      </w:r>
      <w:r w:rsidR="00862825">
        <w:t xml:space="preserve"> = </w:t>
      </w:r>
      <w:r w:rsidR="00D73FA8">
        <w:t>-</w:t>
      </w:r>
      <w:r w:rsidR="00862825">
        <w:t xml:space="preserve">0.21, </w:t>
      </w:r>
      <w:r w:rsidR="00862825">
        <w:rPr>
          <w:i/>
        </w:rPr>
        <w:t>p</w:t>
      </w:r>
      <w:r w:rsidR="00862825">
        <w:t xml:space="preserve"> &lt; 0.01) was far </w:t>
      </w:r>
      <w:r w:rsidR="000666B8">
        <w:t>stronger</w:t>
      </w:r>
      <w:r w:rsidRPr="00ED167D">
        <w:t xml:space="preserve">. </w:t>
      </w:r>
      <w:r w:rsidR="00F37650">
        <w:t xml:space="preserve">Figure </w:t>
      </w:r>
      <w:r w:rsidR="00BD31AF">
        <w:t>1</w:t>
      </w:r>
      <w:r w:rsidR="00F37650">
        <w:t xml:space="preserve"> </w:t>
      </w:r>
      <w:r w:rsidR="00862825">
        <w:t>illustrates these results. In short, high levels of disagreement were associated with a relatively strong reliance on policy preferences and a remarkable null effect of partisanship.</w:t>
      </w:r>
      <w:r w:rsidR="00862825" w:rsidRPr="00ED167D">
        <w:t xml:space="preserve"> </w:t>
      </w:r>
    </w:p>
    <w:p w14:paraId="6108C177" w14:textId="312221D5" w:rsidR="003058B0" w:rsidRPr="006A1F37" w:rsidRDefault="003058B0" w:rsidP="003058B0">
      <w:pPr>
        <w:spacing w:line="480" w:lineRule="auto"/>
        <w:contextualSpacing/>
        <w:rPr>
          <w:b/>
        </w:rPr>
      </w:pPr>
      <w:r w:rsidRPr="006A1F37">
        <w:rPr>
          <w:b/>
        </w:rPr>
        <w:t>ANES Analyses: Network Disagreement</w:t>
      </w:r>
      <w:r w:rsidR="00094EDD" w:rsidRPr="006A1F37">
        <w:rPr>
          <w:b/>
        </w:rPr>
        <w:t>, Candidate Evaluations,</w:t>
      </w:r>
      <w:r w:rsidRPr="006A1F37">
        <w:rPr>
          <w:b/>
        </w:rPr>
        <w:t xml:space="preserve"> and Vote Choice</w:t>
      </w:r>
    </w:p>
    <w:p w14:paraId="27F2DE5B" w14:textId="6265D994" w:rsidR="003058B0" w:rsidRPr="006A1F37" w:rsidRDefault="003058B0" w:rsidP="003058B0">
      <w:pPr>
        <w:spacing w:line="480" w:lineRule="auto"/>
        <w:contextualSpacing/>
      </w:pPr>
      <w:r w:rsidRPr="006A1F37">
        <w:tab/>
      </w:r>
      <w:r w:rsidR="00094EDD" w:rsidRPr="006A1F37">
        <w:t xml:space="preserve">In the ANES panel, we are able to test the effect of disagreement on the bases of both candidate evaluations and voting behavior. </w:t>
      </w:r>
      <w:r w:rsidRPr="006A1F37">
        <w:t xml:space="preserve">Once again, we note that there is a great deal of </w:t>
      </w:r>
      <w:r w:rsidRPr="006A1F37">
        <w:lastRenderedPageBreak/>
        <w:t>unshared variance between respondent partisanship and policy preference</w:t>
      </w:r>
      <w:r w:rsidR="00862825">
        <w:t xml:space="preserve"> (</w:t>
      </w:r>
      <w:r w:rsidR="00862825" w:rsidRPr="00862825">
        <w:rPr>
          <w:i/>
        </w:rPr>
        <w:t>r</w:t>
      </w:r>
      <w:r w:rsidR="00862825">
        <w:t xml:space="preserve"> = </w:t>
      </w:r>
      <w:r w:rsidRPr="00862825">
        <w:t>0</w:t>
      </w:r>
      <w:r w:rsidRPr="006A1F37">
        <w:t>.5</w:t>
      </w:r>
      <w:r w:rsidR="0000535D" w:rsidRPr="006A1F37">
        <w:t>3</w:t>
      </w:r>
      <w:r w:rsidR="00862825">
        <w:t xml:space="preserve">, </w:t>
      </w:r>
      <w:r w:rsidRPr="006A1F37">
        <w:rPr>
          <w:i/>
        </w:rPr>
        <w:t xml:space="preserve">p </w:t>
      </w:r>
      <w:r w:rsidRPr="006A1F37">
        <w:t>&lt; .001</w:t>
      </w:r>
      <w:r w:rsidR="0000535D" w:rsidRPr="006A1F37">
        <w:t xml:space="preserve">; </w:t>
      </w:r>
      <w:r w:rsidRPr="006A1F37">
        <w:t xml:space="preserve">see </w:t>
      </w:r>
      <w:r w:rsidR="000666B8">
        <w:t xml:space="preserve">Appendix B, Figure </w:t>
      </w:r>
      <w:r w:rsidR="00624029">
        <w:t>B</w:t>
      </w:r>
      <w:r w:rsidR="000666B8">
        <w:t>3</w:t>
      </w:r>
      <w:r w:rsidRPr="006A1F37">
        <w:t xml:space="preserve">). </w:t>
      </w:r>
    </w:p>
    <w:p w14:paraId="77DA4341" w14:textId="2D88F74D" w:rsidR="00D66FED" w:rsidRDefault="003058B0" w:rsidP="001710A4">
      <w:pPr>
        <w:spacing w:line="480" w:lineRule="auto"/>
        <w:ind w:firstLine="720"/>
        <w:contextualSpacing/>
      </w:pPr>
      <w:r w:rsidRPr="006A1F37">
        <w:t xml:space="preserve">Our </w:t>
      </w:r>
      <w:r w:rsidR="00CC3D7D" w:rsidRPr="006A1F37">
        <w:t xml:space="preserve">first </w:t>
      </w:r>
      <w:r w:rsidRPr="006A1F37">
        <w:t>outcome</w:t>
      </w:r>
      <w:r w:rsidR="00CC3D7D" w:rsidRPr="006A1F37">
        <w:t xml:space="preserve"> is preference for Obama over McCain in candidate evaluations, measured in October 2008 and controlling for earlier evaluations in January. Our second outcome is</w:t>
      </w:r>
      <w:r w:rsidRPr="006A1F37">
        <w:t xml:space="preserve"> self-reported vote choice</w:t>
      </w:r>
      <w:r w:rsidR="00CC3D7D" w:rsidRPr="006A1F37">
        <w:t xml:space="preserve"> for Obama over McCain</w:t>
      </w:r>
      <w:r w:rsidRPr="006A1F37">
        <w:t xml:space="preserve"> in November 2008, </w:t>
      </w:r>
      <w:r w:rsidR="00CC3D7D" w:rsidRPr="006A1F37">
        <w:t>controlling for</w:t>
      </w:r>
      <w:r w:rsidRPr="006A1F37">
        <w:t xml:space="preserve"> vote intention in </w:t>
      </w:r>
      <w:r w:rsidR="00CC3D7D" w:rsidRPr="006A1F37">
        <w:t>September</w:t>
      </w:r>
      <w:r w:rsidRPr="006A1F37">
        <w:t>.</w:t>
      </w:r>
      <w:r w:rsidR="00CC3D7D" w:rsidRPr="006A1F37">
        <w:t xml:space="preserve"> </w:t>
      </w:r>
      <w:r w:rsidRPr="006A1F37">
        <w:t>We used</w:t>
      </w:r>
      <w:r w:rsidR="00CC3D7D" w:rsidRPr="006A1F37">
        <w:t xml:space="preserve"> OLS regression to predict candidate evaluations and</w:t>
      </w:r>
      <w:r w:rsidRPr="006A1F37">
        <w:t xml:space="preserve"> logistic regression to predict vote choice, adjusted using the </w:t>
      </w:r>
      <w:r w:rsidR="004D3AF0">
        <w:t xml:space="preserve">cross-sectional </w:t>
      </w:r>
      <w:r w:rsidRPr="006A1F37">
        <w:t xml:space="preserve">weight for the wave </w:t>
      </w:r>
      <w:r w:rsidR="004D3AF0">
        <w:t xml:space="preserve">in which the outcome variable was measured </w:t>
      </w:r>
      <w:r w:rsidR="00925078">
        <w:t>(</w:t>
      </w:r>
      <w:proofErr w:type="spellStart"/>
      <w:r w:rsidR="00925078">
        <w:t>DeBell</w:t>
      </w:r>
      <w:proofErr w:type="spellEnd"/>
      <w:r w:rsidR="00925078">
        <w:t xml:space="preserve"> et al., 2010).</w:t>
      </w:r>
      <w:r w:rsidRPr="006A1F37">
        <w:t xml:space="preserve"> </w:t>
      </w:r>
      <w:r w:rsidR="004D3AF0">
        <w:t>We employ this weighting procedure—rather than one using the cumulative panel weight</w:t>
      </w:r>
      <w:r w:rsidR="00925078">
        <w:t>s</w:t>
      </w:r>
      <w:r w:rsidR="004D3AF0">
        <w:t>—because many respondents who would otherwise be included in our analyses have missing data for the panel weight</w:t>
      </w:r>
      <w:r w:rsidR="00925078">
        <w:t xml:space="preserve"> for any given analysis</w:t>
      </w:r>
      <w:r w:rsidR="004D3AF0">
        <w:t xml:space="preserve">, which </w:t>
      </w:r>
      <w:r w:rsidR="00925078">
        <w:t>is only available</w:t>
      </w:r>
      <w:r w:rsidR="004D3AF0">
        <w:t xml:space="preserve"> for </w:t>
      </w:r>
      <w:r w:rsidR="00D66FED">
        <w:t xml:space="preserve">those respondents who completed </w:t>
      </w:r>
      <w:r w:rsidR="00ED167D">
        <w:rPr>
          <w:i/>
        </w:rPr>
        <w:t xml:space="preserve">every </w:t>
      </w:r>
      <w:r w:rsidR="004D3AF0">
        <w:t>wave of the panel</w:t>
      </w:r>
      <w:r w:rsidR="00925078">
        <w:t xml:space="preserve"> prior to a given point in time (e.g., every wave up to and including October)</w:t>
      </w:r>
      <w:r w:rsidR="004D3AF0">
        <w:t>. Because the cross-sectional panel weight does not account for attrition across waves, however, we repeated all focal analyses using the panel weight</w:t>
      </w:r>
      <w:r w:rsidR="00925078">
        <w:t>s</w:t>
      </w:r>
      <w:r w:rsidR="004D3AF0">
        <w:t xml:space="preserve">. Results of these analyses did not differ in direction or significance from those we report here, but are available upon request. </w:t>
      </w:r>
    </w:p>
    <w:p w14:paraId="7CEBB96C" w14:textId="4F465613" w:rsidR="003058B0" w:rsidRPr="006A1F37" w:rsidRDefault="00D66FED" w:rsidP="00D66FED">
      <w:pPr>
        <w:spacing w:line="480" w:lineRule="auto"/>
        <w:ind w:firstLine="720"/>
        <w:contextualSpacing/>
      </w:pPr>
      <w:r>
        <w:t>The model estimates depicted in Table 2</w:t>
      </w:r>
      <w:r w:rsidR="0002756D" w:rsidRPr="006A1F37">
        <w:t xml:space="preserve"> partially confirm our predictions and replicate </w:t>
      </w:r>
      <w:r>
        <w:t xml:space="preserve">the MN panel results. </w:t>
      </w:r>
      <w:r w:rsidR="006D2BB1">
        <w:t>The results for candidate evaluations map closely onto those from the MN panel. When respondents reported relatively little disagreement</w:t>
      </w:r>
      <w:r w:rsidR="00385E35">
        <w:t xml:space="preserve"> (1 SD below the mean)</w:t>
      </w:r>
      <w:r w:rsidR="006D2BB1">
        <w:t>, they tended to follow party (</w:t>
      </w:r>
      <w:r w:rsidR="006D2BB1" w:rsidRPr="006D2BB1">
        <w:rPr>
          <w:i/>
        </w:rPr>
        <w:t>b</w:t>
      </w:r>
      <w:r w:rsidR="006D2BB1">
        <w:t xml:space="preserve"> =</w:t>
      </w:r>
      <w:r w:rsidR="0065345A">
        <w:t xml:space="preserve"> -0.40</w:t>
      </w:r>
      <w:r w:rsidR="006D2BB1">
        <w:t xml:space="preserve">, </w:t>
      </w:r>
      <w:r w:rsidR="006D2BB1">
        <w:rPr>
          <w:i/>
        </w:rPr>
        <w:t>p</w:t>
      </w:r>
      <w:r w:rsidR="006D2BB1">
        <w:t xml:space="preserve"> &lt; </w:t>
      </w:r>
      <w:r w:rsidR="0065345A">
        <w:t>0.01</w:t>
      </w:r>
      <w:r w:rsidR="006D2BB1">
        <w:t>) more than policy (</w:t>
      </w:r>
      <w:r w:rsidR="006D2BB1" w:rsidRPr="006D2BB1">
        <w:rPr>
          <w:i/>
        </w:rPr>
        <w:t>b</w:t>
      </w:r>
      <w:r w:rsidR="006D2BB1">
        <w:t xml:space="preserve"> = </w:t>
      </w:r>
      <w:r w:rsidR="0065345A">
        <w:t>-0.16</w:t>
      </w:r>
      <w:r w:rsidR="006D2BB1">
        <w:t xml:space="preserve">, </w:t>
      </w:r>
      <w:r w:rsidR="006D2BB1">
        <w:rPr>
          <w:i/>
        </w:rPr>
        <w:t>p</w:t>
      </w:r>
      <w:r w:rsidR="0065345A">
        <w:t xml:space="preserve"> &lt; 0.01</w:t>
      </w:r>
      <w:r w:rsidR="006D2BB1">
        <w:t>). When respondents reported relatively high levels of disagreement</w:t>
      </w:r>
      <w:r w:rsidR="00385E35">
        <w:t xml:space="preserve"> (1 SD above the mean)</w:t>
      </w:r>
      <w:r w:rsidR="006D2BB1">
        <w:t>, they tended to follow policy (</w:t>
      </w:r>
      <w:r w:rsidR="006D2BB1" w:rsidRPr="006D2BB1">
        <w:rPr>
          <w:i/>
        </w:rPr>
        <w:t>b</w:t>
      </w:r>
      <w:r w:rsidR="006D2BB1">
        <w:t xml:space="preserve"> = </w:t>
      </w:r>
      <w:r w:rsidR="0065345A">
        <w:t>-0.34</w:t>
      </w:r>
      <w:r w:rsidR="006D2BB1">
        <w:t xml:space="preserve">, </w:t>
      </w:r>
      <w:r w:rsidR="006D2BB1">
        <w:rPr>
          <w:i/>
        </w:rPr>
        <w:t>p</w:t>
      </w:r>
      <w:r w:rsidR="0065345A">
        <w:t xml:space="preserve"> &lt; 0.01</w:t>
      </w:r>
      <w:r w:rsidR="006D2BB1">
        <w:t>) more than party</w:t>
      </w:r>
      <w:r w:rsidR="0065345A">
        <w:t xml:space="preserve"> </w:t>
      </w:r>
      <w:r w:rsidR="006D2BB1">
        <w:t>(</w:t>
      </w:r>
      <w:r w:rsidR="006D2BB1" w:rsidRPr="006D2BB1">
        <w:rPr>
          <w:i/>
        </w:rPr>
        <w:t>b</w:t>
      </w:r>
      <w:r w:rsidR="006D2BB1">
        <w:t xml:space="preserve"> = </w:t>
      </w:r>
      <w:r w:rsidR="0065345A">
        <w:t>-0.14</w:t>
      </w:r>
      <w:r w:rsidR="006D2BB1">
        <w:t xml:space="preserve">, </w:t>
      </w:r>
      <w:r w:rsidR="006D2BB1">
        <w:rPr>
          <w:i/>
        </w:rPr>
        <w:t>p</w:t>
      </w:r>
      <w:r w:rsidR="0065345A">
        <w:t xml:space="preserve"> &lt; 0.01</w:t>
      </w:r>
      <w:r w:rsidR="006D2BB1">
        <w:t xml:space="preserve">). This pattern is evident in the left panels of Figure </w:t>
      </w:r>
      <w:r w:rsidR="00BD31AF">
        <w:t>2</w:t>
      </w:r>
      <w:r w:rsidR="006D2BB1">
        <w:t>.</w:t>
      </w:r>
      <w:r w:rsidR="00862825">
        <w:t xml:space="preserve"> </w:t>
      </w:r>
      <w:r w:rsidR="006D2BB1">
        <w:t xml:space="preserve">The results predicting vote choice were less consistent. Disagreement and partisanship interacted as before, such </w:t>
      </w:r>
      <w:r w:rsidR="00385E35">
        <w:t xml:space="preserve">that </w:t>
      </w:r>
      <w:r w:rsidR="006D2BB1">
        <w:t xml:space="preserve">the effects of party identification </w:t>
      </w:r>
      <w:r w:rsidR="00385E35">
        <w:lastRenderedPageBreak/>
        <w:t>were stronger</w:t>
      </w:r>
      <w:r w:rsidR="006D2BB1">
        <w:t xml:space="preserve"> for respondents who reported little disagreement (</w:t>
      </w:r>
      <w:r w:rsidR="006D2BB1" w:rsidRPr="006D2BB1">
        <w:rPr>
          <w:i/>
        </w:rPr>
        <w:t>b</w:t>
      </w:r>
      <w:r w:rsidR="006D2BB1">
        <w:t xml:space="preserve"> = </w:t>
      </w:r>
      <w:r w:rsidR="0065345A">
        <w:t>-1.09</w:t>
      </w:r>
      <w:r w:rsidR="006D2BB1">
        <w:t xml:space="preserve">, </w:t>
      </w:r>
      <w:r w:rsidR="006D2BB1">
        <w:rPr>
          <w:i/>
        </w:rPr>
        <w:t>p</w:t>
      </w:r>
      <w:r w:rsidR="0065345A">
        <w:t xml:space="preserve"> &lt; 0.01</w:t>
      </w:r>
      <w:r w:rsidR="007C51DB">
        <w:t>,</w:t>
      </w:r>
      <w:r w:rsidR="004C6E2C">
        <w:t xml:space="preserve"> when disagreement is 1 SD below the mean</w:t>
      </w:r>
      <w:r w:rsidR="006D2BB1">
        <w:t>)</w:t>
      </w:r>
      <w:r w:rsidR="0065345A">
        <w:t>, compared to those who reported the most disagreement (</w:t>
      </w:r>
      <w:r w:rsidR="0065345A">
        <w:rPr>
          <w:i/>
        </w:rPr>
        <w:t>b</w:t>
      </w:r>
      <w:r w:rsidR="0065345A">
        <w:t xml:space="preserve"> = -0.62, </w:t>
      </w:r>
      <w:r w:rsidR="0065345A">
        <w:rPr>
          <w:i/>
        </w:rPr>
        <w:t xml:space="preserve">p </w:t>
      </w:r>
      <w:r w:rsidR="0065345A">
        <w:t>&lt; 0.01</w:t>
      </w:r>
      <w:r w:rsidR="00B70D31">
        <w:t>,</w:t>
      </w:r>
      <w:r w:rsidR="004C6E2C">
        <w:t xml:space="preserve"> when disagreement is 1 SD above the mean</w:t>
      </w:r>
      <w:r w:rsidR="0065345A">
        <w:t>)</w:t>
      </w:r>
      <w:r w:rsidR="006D2BB1">
        <w:t xml:space="preserve">. However, the interaction between disagreement and policy preferences was not significant. See the rightmost panels of Figure </w:t>
      </w:r>
      <w:r w:rsidR="00BD31AF">
        <w:t>2</w:t>
      </w:r>
      <w:r w:rsidR="006D2BB1">
        <w:t>.</w:t>
      </w:r>
      <w:r w:rsidR="00733389">
        <w:t xml:space="preserve"> </w:t>
      </w:r>
      <w:r w:rsidR="006D2BB1">
        <w:t>In sum, t</w:t>
      </w:r>
      <w:r w:rsidR="00733389">
        <w:t>hree of the four interaction terms replicate</w:t>
      </w:r>
      <w:r w:rsidR="006D2BB1">
        <w:t>d</w:t>
      </w:r>
      <w:r w:rsidR="00733389">
        <w:t xml:space="preserve"> the MN Panel results</w:t>
      </w:r>
      <w:r w:rsidR="006D2BB1">
        <w:t>, providing imperfect but converging evidence from a representative sample during the 2008 election.</w:t>
      </w:r>
      <w:r w:rsidR="003058B0" w:rsidRPr="006A1F37">
        <w:t xml:space="preserve"> </w:t>
      </w:r>
    </w:p>
    <w:p w14:paraId="057B9BA4" w14:textId="77777777" w:rsidR="003058B0" w:rsidRPr="006A1F37" w:rsidRDefault="003058B0" w:rsidP="003058B0">
      <w:pPr>
        <w:spacing w:line="480" w:lineRule="auto"/>
        <w:contextualSpacing/>
      </w:pPr>
      <w:r w:rsidRPr="006A1F37">
        <w:rPr>
          <w:b/>
        </w:rPr>
        <w:t>Exploring Network Selection Biases in the MN and ANES panels</w:t>
      </w:r>
    </w:p>
    <w:p w14:paraId="720E93F4" w14:textId="2F0EA10B" w:rsidR="003058B0" w:rsidRPr="006A1F37" w:rsidRDefault="003058B0" w:rsidP="00EB4CCD">
      <w:pPr>
        <w:spacing w:line="480" w:lineRule="auto"/>
        <w:contextualSpacing/>
      </w:pPr>
      <w:r w:rsidRPr="006A1F37">
        <w:tab/>
        <w:t xml:space="preserve">Our theory is that network disagreement </w:t>
      </w:r>
      <w:r w:rsidRPr="006A1F37">
        <w:rPr>
          <w:i/>
        </w:rPr>
        <w:t>affects</w:t>
      </w:r>
      <w:r w:rsidRPr="006A1F37">
        <w:t xml:space="preserve"> the relative weight of party identification and policy preferences in candidate </w:t>
      </w:r>
      <w:r w:rsidR="004C6E2C">
        <w:t>preferences</w:t>
      </w:r>
      <w:r w:rsidRPr="006A1F37">
        <w:t xml:space="preserve">. However, the evidence we present above </w:t>
      </w:r>
      <w:r w:rsidR="00F525F1">
        <w:t>may be biased by omitted variables</w:t>
      </w:r>
      <w:r w:rsidRPr="006A1F37">
        <w:t xml:space="preserve">. </w:t>
      </w:r>
      <w:r w:rsidR="00F525F1">
        <w:t>Certain</w:t>
      </w:r>
      <w:r w:rsidRPr="006A1F37">
        <w:t xml:space="preserve"> types of individuals</w:t>
      </w:r>
      <w:r w:rsidR="00F525F1">
        <w:t xml:space="preserve"> may be</w:t>
      </w:r>
      <w:r w:rsidRPr="006A1F37">
        <w:t xml:space="preserve"> more or less likely to choose social networks (i.e., to establish or maintain relationships) in which political disagreement is commonplace. Perhaps people </w:t>
      </w:r>
      <w:r w:rsidR="007E08B7">
        <w:t xml:space="preserve">who are especially interested in politics, well-educated, or politically knowledgeable </w:t>
      </w:r>
      <w:r w:rsidR="004C6E2C">
        <w:t>tolerate more political disagreement in their relationships</w:t>
      </w:r>
      <w:r w:rsidRPr="006A1F37">
        <w:t xml:space="preserve">. Or, perhaps people with weaker partisan attachments or stronger policy preferences are more comfortable disagreeing about politics with others. With network disagreement measured at one wave in each study, we cannot test whether these variables </w:t>
      </w:r>
      <w:r w:rsidRPr="007E08B7">
        <w:rPr>
          <w:i/>
        </w:rPr>
        <w:t>affect</w:t>
      </w:r>
      <w:r w:rsidRPr="006A1F37">
        <w:t xml:space="preserve"> </w:t>
      </w:r>
      <w:r w:rsidR="007E08B7">
        <w:t>reported disagreement.</w:t>
      </w:r>
      <w:r w:rsidRPr="006A1F37">
        <w:t xml:space="preserve"> </w:t>
      </w:r>
      <w:r w:rsidR="007E08B7">
        <w:t>However,</w:t>
      </w:r>
      <w:r w:rsidRPr="006A1F37">
        <w:t xml:space="preserve"> we can test the plausibility of the idea that network disagreement is simply standing in for these variables by examining the correlation between network disagreement and education, political interest, political knowledge, and the extremity of respondents’ partisan identities and policy preferences. These correlations are reported in Table 3. Some are statistically significant, but all are modest in magnitude (|</w:t>
      </w:r>
      <w:r w:rsidRPr="006A1F37">
        <w:rPr>
          <w:i/>
        </w:rPr>
        <w:t>r</w:t>
      </w:r>
      <w:r w:rsidRPr="006A1F37">
        <w:t xml:space="preserve"> |&lt; 0.25). </w:t>
      </w:r>
      <w:r w:rsidR="007E08B7">
        <w:t>W</w:t>
      </w:r>
      <w:r w:rsidRPr="006A1F37">
        <w:t xml:space="preserve">e find evidence that people in high-disagreement networks are </w:t>
      </w:r>
      <w:r w:rsidRPr="006A1F37">
        <w:rPr>
          <w:i/>
        </w:rPr>
        <w:t>not</w:t>
      </w:r>
      <w:r w:rsidRPr="006A1F37">
        <w:t xml:space="preserve">, on average, more interested in politics, better educated, </w:t>
      </w:r>
      <w:r w:rsidRPr="00D54DE8">
        <w:t>or more extreme in their policy views.</w:t>
      </w:r>
      <w:r w:rsidR="00925078">
        <w:t xml:space="preserve"> In fact, network disagreement was associated with </w:t>
      </w:r>
      <w:r w:rsidR="00925078">
        <w:rPr>
          <w:i/>
        </w:rPr>
        <w:t>less</w:t>
      </w:r>
      <w:r w:rsidR="00925078">
        <w:t xml:space="preserve"> extreme policy views in both samples. </w:t>
      </w:r>
      <w:r w:rsidR="007E08B7">
        <w:lastRenderedPageBreak/>
        <w:t>D</w:t>
      </w:r>
      <w:r w:rsidRPr="006A1F37">
        <w:t xml:space="preserve">isagreement </w:t>
      </w:r>
      <w:r w:rsidR="007E08B7">
        <w:t>was</w:t>
      </w:r>
      <w:r w:rsidRPr="006A1F37">
        <w:t xml:space="preserve"> slightly correlated with political knowledge (</w:t>
      </w:r>
      <w:r w:rsidRPr="006A1F37">
        <w:rPr>
          <w:i/>
        </w:rPr>
        <w:t>r</w:t>
      </w:r>
      <w:r w:rsidRPr="006A1F37">
        <w:t xml:space="preserve"> = 0.06, </w:t>
      </w:r>
      <w:r w:rsidRPr="006A1F37">
        <w:rPr>
          <w:i/>
        </w:rPr>
        <w:t>p</w:t>
      </w:r>
      <w:r w:rsidRPr="006A1F37">
        <w:t xml:space="preserve"> &lt; 0.05 in both datasets), but this correlation is consistent with our theory that network disagreement promotes the dissemination of political information, and is likely not strong enough to account for the entirety of our effects. </w:t>
      </w:r>
      <w:r w:rsidR="00EB4CCD">
        <w:t xml:space="preserve">Additional models controlling for the effects of political knowledge and political interest (and their interactions with our key predictors) replicated the results reported in the main text. </w:t>
      </w:r>
      <w:r w:rsidRPr="006A1F37">
        <w:t>The significant negative correlations between partisan extremity and network disagreement (</w:t>
      </w:r>
      <w:proofErr w:type="spellStart"/>
      <w:r w:rsidRPr="006A1F37">
        <w:rPr>
          <w:i/>
        </w:rPr>
        <w:t>r</w:t>
      </w:r>
      <w:r w:rsidRPr="006A1F37">
        <w:rPr>
          <w:i/>
          <w:vertAlign w:val="subscript"/>
        </w:rPr>
        <w:t>MN</w:t>
      </w:r>
      <w:proofErr w:type="spellEnd"/>
      <w:r w:rsidRPr="006A1F37">
        <w:rPr>
          <w:i/>
        </w:rPr>
        <w:t xml:space="preserve"> = -</w:t>
      </w:r>
      <w:r w:rsidRPr="006A1F37">
        <w:t xml:space="preserve">.16, </w:t>
      </w:r>
      <w:proofErr w:type="spellStart"/>
      <w:r w:rsidRPr="006A1F37">
        <w:rPr>
          <w:i/>
        </w:rPr>
        <w:t>r</w:t>
      </w:r>
      <w:r w:rsidR="00234528" w:rsidRPr="006A1F37">
        <w:rPr>
          <w:vertAlign w:val="subscript"/>
        </w:rPr>
        <w:t>AN</w:t>
      </w:r>
      <w:r w:rsidRPr="006A1F37">
        <w:rPr>
          <w:vertAlign w:val="subscript"/>
        </w:rPr>
        <w:t>ES</w:t>
      </w:r>
      <w:proofErr w:type="spellEnd"/>
      <w:r w:rsidRPr="006A1F37">
        <w:t xml:space="preserve"> = -.2</w:t>
      </w:r>
      <w:r w:rsidR="00234528" w:rsidRPr="006A1F37">
        <w:t>2</w:t>
      </w:r>
      <w:r w:rsidR="009A2E24" w:rsidRPr="006A1F37">
        <w:t xml:space="preserve">; </w:t>
      </w:r>
      <w:proofErr w:type="spellStart"/>
      <w:r w:rsidR="009A2E24" w:rsidRPr="006A1F37">
        <w:rPr>
          <w:i/>
        </w:rPr>
        <w:t>p</w:t>
      </w:r>
      <w:r w:rsidR="009A2E24" w:rsidRPr="006A1F37">
        <w:t>s</w:t>
      </w:r>
      <w:proofErr w:type="spellEnd"/>
      <w:r w:rsidR="00EE3656" w:rsidRPr="006A1F37">
        <w:t xml:space="preserve"> </w:t>
      </w:r>
      <w:r w:rsidR="009A2E24" w:rsidRPr="006A1F37">
        <w:t>&lt;0.01</w:t>
      </w:r>
      <w:r w:rsidRPr="006A1F37">
        <w:t xml:space="preserve">) are more problematic; these may bias our estimates of the interaction between partisanship and network agreement, such that partisanship only appears weakly related to candidate </w:t>
      </w:r>
      <w:r w:rsidR="004C6E2C">
        <w:t>preferences</w:t>
      </w:r>
      <w:r w:rsidRPr="006A1F37">
        <w:t xml:space="preserve"> </w:t>
      </w:r>
      <w:r w:rsidR="007E08B7">
        <w:t xml:space="preserve">when disagreement is high </w:t>
      </w:r>
      <w:r w:rsidRPr="006A1F37">
        <w:t xml:space="preserve">because these networks house mainly weak partisans. </w:t>
      </w:r>
      <w:r w:rsidR="00D54DE8">
        <w:t xml:space="preserve">In Appendix B, Tables </w:t>
      </w:r>
      <w:r w:rsidR="00624029">
        <w:t>B</w:t>
      </w:r>
      <w:r w:rsidR="00CC5098">
        <w:t>9</w:t>
      </w:r>
      <w:r w:rsidR="00D54DE8">
        <w:t>-</w:t>
      </w:r>
      <w:r w:rsidR="00CC5098">
        <w:t>10</w:t>
      </w:r>
      <w:r w:rsidR="00D54DE8">
        <w:t xml:space="preserve">, we </w:t>
      </w:r>
      <w:r w:rsidR="007E08B7">
        <w:t xml:space="preserve">test the extent of this bias. </w:t>
      </w:r>
      <w:r w:rsidR="00D54DE8">
        <w:t xml:space="preserve">Our findings </w:t>
      </w:r>
      <w:r w:rsidR="007E08B7">
        <w:t xml:space="preserve">suggest that bias from this particular variable cannot account for our results. </w:t>
      </w:r>
    </w:p>
    <w:p w14:paraId="344EEC61" w14:textId="77777777" w:rsidR="003058B0" w:rsidRPr="006A1F37" w:rsidRDefault="003058B0" w:rsidP="003058B0">
      <w:pPr>
        <w:spacing w:line="480" w:lineRule="auto"/>
        <w:contextualSpacing/>
        <w:jc w:val="center"/>
        <w:rPr>
          <w:b/>
        </w:rPr>
      </w:pPr>
      <w:r w:rsidRPr="006A1F37">
        <w:rPr>
          <w:b/>
        </w:rPr>
        <w:t>Summary and Conclusion</w:t>
      </w:r>
    </w:p>
    <w:p w14:paraId="52CF1F14" w14:textId="5F44F3EB" w:rsidR="003058B0" w:rsidRPr="006A1F37" w:rsidRDefault="003058B0" w:rsidP="003058B0">
      <w:pPr>
        <w:spacing w:line="480" w:lineRule="auto"/>
        <w:contextualSpacing/>
      </w:pPr>
      <w:r w:rsidRPr="006A1F37">
        <w:rPr>
          <w:b/>
        </w:rPr>
        <w:tab/>
      </w:r>
      <w:r w:rsidRPr="006A1F37">
        <w:t>In two nationwide panel surveys, we find evidence that citizens’ party identification predict</w:t>
      </w:r>
      <w:r w:rsidR="00234528" w:rsidRPr="006A1F37">
        <w:t>s</w:t>
      </w:r>
      <w:r w:rsidRPr="006A1F37">
        <w:t xml:space="preserve"> change in their candidate preferences differently depending on their immediate social context. Among citizens who </w:t>
      </w:r>
      <w:r w:rsidR="005A7744">
        <w:t>rarely disagreed</w:t>
      </w:r>
      <w:r w:rsidRPr="006A1F37">
        <w:t xml:space="preserve"> with their </w:t>
      </w:r>
      <w:r w:rsidR="005A7744">
        <w:t>friends and family</w:t>
      </w:r>
      <w:r w:rsidRPr="006A1F37">
        <w:t xml:space="preserve"> about politics, party identification predicted change in candidate preferences</w:t>
      </w:r>
      <w:r w:rsidR="00234528" w:rsidRPr="006A1F37">
        <w:t xml:space="preserve">. </w:t>
      </w:r>
      <w:r w:rsidRPr="006A1F37">
        <w:t xml:space="preserve">However, among citizens who </w:t>
      </w:r>
      <w:r w:rsidR="005A7744">
        <w:t>reported more</w:t>
      </w:r>
      <w:r w:rsidRPr="006A1F37">
        <w:t xml:space="preserve"> disagree</w:t>
      </w:r>
      <w:r w:rsidR="005A7744">
        <w:t>ment</w:t>
      </w:r>
      <w:r w:rsidRPr="006A1F37">
        <w:t xml:space="preserve"> </w:t>
      </w:r>
      <w:r w:rsidR="005A7744">
        <w:t>with close others</w:t>
      </w:r>
      <w:r w:rsidRPr="006A1F37">
        <w:t xml:space="preserve">, </w:t>
      </w:r>
      <w:r w:rsidR="00234528" w:rsidRPr="006A1F37">
        <w:t xml:space="preserve">partisanship was a much weaker predictor of candidate preferences. </w:t>
      </w:r>
      <w:r w:rsidR="005A7744">
        <w:t>Conversely</w:t>
      </w:r>
      <w:r w:rsidR="00234528" w:rsidRPr="006A1F37">
        <w:t xml:space="preserve">, we find that </w:t>
      </w:r>
      <w:r w:rsidR="005A7744">
        <w:t>policy positions best predict candidate evaluations under the same conditions in which partisanship’s effect is weakest</w:t>
      </w:r>
      <w:r w:rsidRPr="006A1F37">
        <w:t xml:space="preserve">. This pattern of results supports both of our hypotheses. When compared to those in </w:t>
      </w:r>
      <w:r w:rsidR="007C5E42" w:rsidRPr="006A1F37">
        <w:t xml:space="preserve">low-disagreement </w:t>
      </w:r>
      <w:r w:rsidRPr="006A1F37">
        <w:t xml:space="preserve">networks, citizens in </w:t>
      </w:r>
      <w:r w:rsidR="007C5E42" w:rsidRPr="006A1F37">
        <w:t xml:space="preserve">high-disagreement </w:t>
      </w:r>
      <w:r w:rsidRPr="006A1F37">
        <w:t xml:space="preserve">networks appear to develop candidate preferences through more effortful cognitive processes, </w:t>
      </w:r>
      <w:r w:rsidR="00234528" w:rsidRPr="006A1F37">
        <w:t xml:space="preserve">no longer </w:t>
      </w:r>
      <w:r w:rsidRPr="006A1F37">
        <w:t xml:space="preserve">choosing candidates on the basis </w:t>
      </w:r>
      <w:r w:rsidR="00234528" w:rsidRPr="006A1F37">
        <w:t>of</w:t>
      </w:r>
      <w:r w:rsidRPr="006A1F37">
        <w:t xml:space="preserve"> simple partisan cues.</w:t>
      </w:r>
    </w:p>
    <w:p w14:paraId="6EE813EF" w14:textId="6479ECFD" w:rsidR="003058B0" w:rsidRPr="006A1F37" w:rsidRDefault="007C5E42" w:rsidP="003058B0">
      <w:pPr>
        <w:spacing w:line="480" w:lineRule="auto"/>
        <w:ind w:firstLine="720"/>
        <w:contextualSpacing/>
      </w:pPr>
      <w:r w:rsidRPr="006A1F37">
        <w:lastRenderedPageBreak/>
        <w:t>Although</w:t>
      </w:r>
      <w:r w:rsidR="008D01B2" w:rsidRPr="006A1F37">
        <w:t xml:space="preserve"> we replicate the interaction between party identification and network disagreement across two datasets, two elections, and three outcomes, we </w:t>
      </w:r>
      <w:r w:rsidR="005F7738">
        <w:t>did not observe</w:t>
      </w:r>
      <w:r w:rsidR="008D01B2" w:rsidRPr="006A1F37">
        <w:t xml:space="preserve"> the expected interaction between policy attitudes and network disagreement </w:t>
      </w:r>
      <w:r w:rsidR="005F7738">
        <w:t>in the ANES vote-choice model</w:t>
      </w:r>
      <w:r w:rsidR="008D01B2" w:rsidRPr="006A1F37">
        <w:t>. This may be due to differences between the 2008 and 2012 election</w:t>
      </w:r>
      <w:r w:rsidR="005F7738">
        <w:t>, to the insensitivity of the outcome, or to differences in our measure of disagreement across datasets</w:t>
      </w:r>
      <w:r w:rsidR="008D01B2" w:rsidRPr="006A1F37">
        <w:t xml:space="preserve">; future research is necessary to determine whether the interaction of policy attitudes and network disagreement is reliable across election years. </w:t>
      </w:r>
      <w:r w:rsidRPr="006A1F37">
        <w:t>The fact that party identification is reliably less predictive of candidate evaluations for those in high-disagreement networks suggests that disagreement may reduce citizens’ reliance on certain heuristics in candidate selection. The extra effort required to choose candidates based on policy preferences instead, however, might require more specific circumstance</w:t>
      </w:r>
      <w:r w:rsidR="005F7738">
        <w:t xml:space="preserve">s—or perhaps the actual </w:t>
      </w:r>
      <w:r w:rsidR="005F7738">
        <w:rPr>
          <w:i/>
        </w:rPr>
        <w:t>experience</w:t>
      </w:r>
      <w:r w:rsidR="005F7738">
        <w:t xml:space="preserve"> of disagreement with one’s close others rather than the general belief that their opinions differ from one’s own</w:t>
      </w:r>
      <w:r w:rsidRPr="006A1F37">
        <w:t xml:space="preserve">. </w:t>
      </w:r>
    </w:p>
    <w:p w14:paraId="5851B793" w14:textId="62C833E7" w:rsidR="003058B0" w:rsidRPr="006A1F37" w:rsidRDefault="003058B0" w:rsidP="003058B0">
      <w:pPr>
        <w:spacing w:line="480" w:lineRule="auto"/>
        <w:contextualSpacing/>
      </w:pPr>
      <w:r w:rsidRPr="006A1F37">
        <w:tab/>
        <w:t xml:space="preserve">A second important limitation of our study is the difficulty of causal inference in panel analysis. Although we can be confident that network disagreement and our other predictors at least </w:t>
      </w:r>
      <w:r w:rsidRPr="006A1F37">
        <w:rPr>
          <w:i/>
        </w:rPr>
        <w:t>precede</w:t>
      </w:r>
      <w:r w:rsidRPr="006A1F37">
        <w:t xml:space="preserve"> change in candidate preferences, we cannot rule out the possibility that some third variable accounts for the associations we observe. It is possible that a particular type of person selects into relatively </w:t>
      </w:r>
      <w:r w:rsidR="004C6E2C">
        <w:t>low-disagreement</w:t>
      </w:r>
      <w:r w:rsidRPr="006A1F37">
        <w:t xml:space="preserve"> networks, and that this type of person also happens to rely more heavily on party identification than policy preferences in evaluating candidates—for example, strong partisans or individuals with weak policy preferences. We try to account for this bias in the supplemental analyses described above. Even setting those models aside, however, the complete absence of an effect of partisanship in high-disagreement networks is noteworthy. Given that self-identified independents usually vote for the party toward which they lean (Abramowitz, 2010; Campbell, Converse, Miller, &amp; Stokes, 1960), the null effect of partisanship </w:t>
      </w:r>
      <w:r w:rsidRPr="006A1F37">
        <w:lastRenderedPageBreak/>
        <w:t xml:space="preserve">that we observe in </w:t>
      </w:r>
      <w:r w:rsidR="004C6E2C">
        <w:t>high-disagreement</w:t>
      </w:r>
      <w:r w:rsidRPr="006A1F37">
        <w:t xml:space="preserve"> networks would be surprisin</w:t>
      </w:r>
      <w:r w:rsidR="00520DF6">
        <w:t>g even if every respondent in a</w:t>
      </w:r>
      <w:r w:rsidRPr="006A1F37">
        <w:t xml:space="preserve"> </w:t>
      </w:r>
      <w:r w:rsidR="004C6E2C">
        <w:t>high-disagreement</w:t>
      </w:r>
      <w:r w:rsidRPr="006A1F37">
        <w:t xml:space="preserve"> network was also a weak partisan.</w:t>
      </w:r>
    </w:p>
    <w:p w14:paraId="51FC7711" w14:textId="3F5D1C15" w:rsidR="003058B0" w:rsidRPr="006A1F37" w:rsidRDefault="003058B0" w:rsidP="003058B0">
      <w:pPr>
        <w:spacing w:line="480" w:lineRule="auto"/>
        <w:contextualSpacing/>
      </w:pPr>
      <w:r w:rsidRPr="006A1F37">
        <w:tab/>
        <w:t xml:space="preserve">That said, other less obviously relevant variables might account for the associations we observe. Perhaps psychological predispositions to engage in effortful reasoning (e.g., need for cognition; Cacioppo &amp; Petty, 1982) or to regulate one’s impressions across social situations (e.g., self-monitoring; Snyder, 1974) are associated with individuals’ tendencies to select into </w:t>
      </w:r>
      <w:r w:rsidR="00520DF6">
        <w:t>high-disagreement</w:t>
      </w:r>
      <w:r w:rsidRPr="006A1F37">
        <w:t xml:space="preserve"> networks and to evaluate candidates based on policy rather than party. Experimental investigations of the effects of political disagreement will be necessary to overcome the causal ambiguity inherent in all panel designs, our study included.</w:t>
      </w:r>
    </w:p>
    <w:p w14:paraId="5D7099E5" w14:textId="195CE5C9" w:rsidR="003058B0" w:rsidRPr="006A1F37" w:rsidRDefault="002A7ED6" w:rsidP="002A7ED6">
      <w:pPr>
        <w:spacing w:line="480" w:lineRule="auto"/>
        <w:ind w:firstLine="720"/>
        <w:contextualSpacing/>
      </w:pPr>
      <w:r>
        <w:t>These limitations notwithstanding</w:t>
      </w:r>
      <w:r w:rsidR="003058B0" w:rsidRPr="006A1F37">
        <w:t>, the present study does permit novel infe</w:t>
      </w:r>
      <w:r>
        <w:t xml:space="preserve">rences concerning the </w:t>
      </w:r>
      <w:r w:rsidR="003058B0" w:rsidRPr="006A1F37">
        <w:t xml:space="preserve">consequences of </w:t>
      </w:r>
      <w:r>
        <w:t>political disagreement</w:t>
      </w:r>
      <w:r w:rsidR="00D44558">
        <w:t>. First, w</w:t>
      </w:r>
      <w:r w:rsidR="003058B0" w:rsidRPr="006A1F37">
        <w:t xml:space="preserve">hereas previous investigations have revealed </w:t>
      </w:r>
      <w:r w:rsidR="00D44558">
        <w:t>direct effects of</w:t>
      </w:r>
      <w:r w:rsidR="003058B0" w:rsidRPr="006A1F37">
        <w:t xml:space="preserve"> disagreement </w:t>
      </w:r>
      <w:r w:rsidR="00D44558">
        <w:t>on attitude change</w:t>
      </w:r>
      <w:r w:rsidR="003058B0" w:rsidRPr="006A1F37">
        <w:t xml:space="preserve">, we find that disagreement may also influence how people </w:t>
      </w:r>
      <w:r w:rsidR="00D44558">
        <w:t>form their</w:t>
      </w:r>
      <w:r w:rsidR="003058B0" w:rsidRPr="006A1F37">
        <w:t xml:space="preserve"> attitudes</w:t>
      </w:r>
      <w:r w:rsidR="00B23C98">
        <w:t>. The considerations that voters weigh</w:t>
      </w:r>
      <w:r w:rsidR="00EE21F7">
        <w:t xml:space="preserve"> in an election may depend critically on the people with whom they discuss politics and how often these discussions occur. Second, our evidence contributes to extant debates surrounding the normative </w:t>
      </w:r>
      <w:r w:rsidR="00BF4D5D">
        <w:t>consequences</w:t>
      </w:r>
      <w:r w:rsidR="00EE21F7">
        <w:t xml:space="preserve"> of </w:t>
      </w:r>
      <w:r w:rsidR="00AA717B">
        <w:t>disagreement for</w:t>
      </w:r>
      <w:r w:rsidR="00EE21F7">
        <w:t xml:space="preserve"> democratic systems. Previous work </w:t>
      </w:r>
      <w:r w:rsidR="00BF4D5D">
        <w:t>has revealed both potential benefits, such as greater tolerance for political opponents and their views, and potential costs, such as political disengagement. Our own work suggests one additional benefit that disagreement might offer—a push to engage in more effortful political decision-making and to choose candidates based on the policies they support rather than on the letter that appears next to their name on the ballot.</w:t>
      </w:r>
      <w:r w:rsidR="00EE21F7">
        <w:t xml:space="preserve"> </w:t>
      </w:r>
    </w:p>
    <w:p w14:paraId="43CCD469" w14:textId="04B1243B" w:rsidR="003058B0" w:rsidRPr="006A1F37" w:rsidRDefault="003058B0" w:rsidP="003058B0">
      <w:pPr>
        <w:spacing w:line="480" w:lineRule="auto"/>
        <w:ind w:firstLine="720"/>
        <w:contextualSpacing/>
      </w:pPr>
      <w:r w:rsidRPr="006A1F37">
        <w:t xml:space="preserve">However, our evidence also suggests that it takes quite a bit of disagreement for citizens’ policy preferences to take precedent over their partisanship. Such high levels of disagreement </w:t>
      </w:r>
      <w:r w:rsidRPr="006A1F37">
        <w:lastRenderedPageBreak/>
        <w:t xml:space="preserve">might be difficult to sustain, and might have </w:t>
      </w:r>
      <w:r w:rsidR="00141434">
        <w:t xml:space="preserve">other, underappreciated </w:t>
      </w:r>
      <w:r w:rsidRPr="006A1F37">
        <w:t>deleterious</w:t>
      </w:r>
      <w:r w:rsidR="00141434">
        <w:t xml:space="preserve"> effects. For example</w:t>
      </w:r>
      <w:r w:rsidRPr="006A1F37">
        <w:t xml:space="preserve">, political disagreement is generally not enjoyable, and can damage interpersonal relationships that might be more valuable to the average citizen than a carefully reasoned vote. </w:t>
      </w:r>
    </w:p>
    <w:p w14:paraId="26DF5E04" w14:textId="04488EF9" w:rsidR="00D209CC" w:rsidRPr="00792617" w:rsidRDefault="003058B0" w:rsidP="00792617">
      <w:pPr>
        <w:spacing w:line="480" w:lineRule="auto"/>
        <w:ind w:firstLine="720"/>
        <w:contextualSpacing/>
      </w:pPr>
      <w:proofErr w:type="gramStart"/>
      <w:r w:rsidRPr="006A1F37">
        <w:t>So</w:t>
      </w:r>
      <w:proofErr w:type="gramEnd"/>
      <w:r w:rsidRPr="006A1F37">
        <w:t xml:space="preserve"> although our results suggest that disagreement </w:t>
      </w:r>
      <w:r w:rsidRPr="006A1F37">
        <w:rPr>
          <w:i/>
        </w:rPr>
        <w:t>can</w:t>
      </w:r>
      <w:r w:rsidRPr="006A1F37">
        <w:t xml:space="preserve"> induce people to engage in more effortful political reasoning, it is unclear how pervasive these effects are and whether the benefits that accompany them outweigh the potential costs. </w:t>
      </w:r>
      <w:r w:rsidR="00F02DF3">
        <w:t xml:space="preserve">We do not claim to have shown that political disagreement is </w:t>
      </w:r>
      <w:r w:rsidRPr="006A1F37">
        <w:t xml:space="preserve">“a good thing.” However, </w:t>
      </w:r>
      <w:r w:rsidR="00F02DF3">
        <w:t xml:space="preserve">our finding that disagreement is associated with reliance on policy over party in presidential elections suggests a previously unexplored benefit of political disagreement for democratic systems: pushing citizens to think more carefully about the political decisions that democracy asks </w:t>
      </w:r>
      <w:r w:rsidR="006B2A72">
        <w:t>them to</w:t>
      </w:r>
      <w:r w:rsidR="00F02DF3">
        <w:t xml:space="preserve"> make.</w:t>
      </w:r>
    </w:p>
    <w:p w14:paraId="7B6EF8CD" w14:textId="77777777" w:rsidR="004830F5" w:rsidRDefault="004830F5">
      <w:pPr>
        <w:spacing w:after="160" w:line="259" w:lineRule="auto"/>
        <w:rPr>
          <w:b/>
        </w:rPr>
      </w:pPr>
      <w:r>
        <w:rPr>
          <w:b/>
        </w:rPr>
        <w:br w:type="page"/>
      </w:r>
    </w:p>
    <w:p w14:paraId="46E072E9" w14:textId="53E10AFA" w:rsidR="003058B0" w:rsidRPr="006A1F37" w:rsidRDefault="003058B0" w:rsidP="003058B0">
      <w:pPr>
        <w:spacing w:line="480" w:lineRule="auto"/>
        <w:contextualSpacing/>
        <w:jc w:val="center"/>
        <w:rPr>
          <w:b/>
        </w:rPr>
      </w:pPr>
      <w:r w:rsidRPr="006A1F37">
        <w:rPr>
          <w:b/>
        </w:rPr>
        <w:lastRenderedPageBreak/>
        <w:t>References</w:t>
      </w:r>
    </w:p>
    <w:p w14:paraId="2BA52199" w14:textId="1FD81F3B"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Abramowitz, A. I. (2010). </w:t>
      </w:r>
      <w:r w:rsidRPr="006A1F37">
        <w:rPr>
          <w:rFonts w:eastAsia="Times New Roman"/>
          <w:i/>
          <w:iCs/>
        </w:rPr>
        <w:t>The disappearing center: Engaged citizens, polarization, and American democracy</w:t>
      </w:r>
      <w:r w:rsidRPr="006A1F37">
        <w:rPr>
          <w:rFonts w:eastAsia="Times New Roman"/>
        </w:rPr>
        <w:t>. New Haven, CT: Yale University Press.</w:t>
      </w:r>
    </w:p>
    <w:p w14:paraId="4132DFE4" w14:textId="7A298762" w:rsidR="00E45091" w:rsidRPr="006A1F37" w:rsidRDefault="00E45091" w:rsidP="003058B0">
      <w:pPr>
        <w:spacing w:after="0" w:line="480" w:lineRule="auto"/>
        <w:ind w:left="720" w:hanging="720"/>
        <w:contextualSpacing/>
        <w:rPr>
          <w:rFonts w:eastAsia="Times New Roman"/>
        </w:rPr>
      </w:pPr>
      <w:r w:rsidRPr="006A1F37">
        <w:rPr>
          <w:color w:val="222222"/>
        </w:rPr>
        <w:t xml:space="preserve">Albertson, B., &amp; </w:t>
      </w:r>
      <w:proofErr w:type="spellStart"/>
      <w:r w:rsidRPr="006A1F37">
        <w:rPr>
          <w:color w:val="222222"/>
        </w:rPr>
        <w:t>Gadarian</w:t>
      </w:r>
      <w:proofErr w:type="spellEnd"/>
      <w:r w:rsidRPr="006A1F37">
        <w:rPr>
          <w:color w:val="222222"/>
        </w:rPr>
        <w:t xml:space="preserve">, S. K. (2015). </w:t>
      </w:r>
      <w:r w:rsidRPr="006A1F37">
        <w:rPr>
          <w:i/>
          <w:iCs/>
          <w:color w:val="222222"/>
        </w:rPr>
        <w:t>Anxious politics: Democratic citizenship in a threatening world</w:t>
      </w:r>
      <w:r w:rsidRPr="006A1F37">
        <w:rPr>
          <w:color w:val="222222"/>
        </w:rPr>
        <w:t>. Cambridge University Press.</w:t>
      </w:r>
    </w:p>
    <w:p w14:paraId="110C730B" w14:textId="77777777" w:rsidR="003058B0" w:rsidRPr="006A1F37" w:rsidRDefault="003058B0" w:rsidP="003058B0">
      <w:pPr>
        <w:autoSpaceDE w:val="0"/>
        <w:autoSpaceDN w:val="0"/>
        <w:adjustRightInd w:val="0"/>
        <w:spacing w:after="0" w:line="480" w:lineRule="auto"/>
        <w:ind w:left="720" w:hanging="720"/>
        <w:contextualSpacing/>
        <w:rPr>
          <w:i/>
          <w:iCs/>
        </w:rPr>
      </w:pPr>
      <w:proofErr w:type="spellStart"/>
      <w:r w:rsidRPr="006A1F37">
        <w:rPr>
          <w:rFonts w:eastAsia="Times New Roman"/>
        </w:rPr>
        <w:t>Berinsky</w:t>
      </w:r>
      <w:proofErr w:type="spellEnd"/>
      <w:r w:rsidRPr="006A1F37">
        <w:rPr>
          <w:rFonts w:eastAsia="Times New Roman"/>
        </w:rPr>
        <w:t xml:space="preserve">, A. J., Huber, G. A., &amp; Lenz, G. S. (2012). Evaluating online labor markets for experimental research: </w:t>
      </w:r>
      <w:proofErr w:type="spellStart"/>
      <w:r w:rsidRPr="006A1F37">
        <w:rPr>
          <w:rFonts w:eastAsia="Times New Roman"/>
        </w:rPr>
        <w:t>Amazon.com's</w:t>
      </w:r>
      <w:proofErr w:type="spellEnd"/>
      <w:r w:rsidRPr="006A1F37">
        <w:rPr>
          <w:rFonts w:eastAsia="Times New Roman"/>
        </w:rPr>
        <w:t xml:space="preserve"> Mechanical Turk. </w:t>
      </w:r>
      <w:r w:rsidRPr="006A1F37">
        <w:rPr>
          <w:rFonts w:eastAsia="Times New Roman"/>
          <w:i/>
          <w:iCs/>
        </w:rPr>
        <w:t>Political Analysis</w:t>
      </w:r>
      <w:r w:rsidRPr="006A1F37">
        <w:rPr>
          <w:rFonts w:eastAsia="Times New Roman"/>
          <w:iCs/>
        </w:rPr>
        <w:t>,</w:t>
      </w:r>
      <w:r w:rsidRPr="006A1F37">
        <w:rPr>
          <w:rFonts w:eastAsia="Times New Roman"/>
        </w:rPr>
        <w:t xml:space="preserve"> </w:t>
      </w:r>
      <w:r w:rsidRPr="006A1F37">
        <w:rPr>
          <w:rFonts w:eastAsia="Times New Roman"/>
          <w:i/>
          <w:iCs/>
        </w:rPr>
        <w:t>20</w:t>
      </w:r>
      <w:r w:rsidRPr="006A1F37">
        <w:rPr>
          <w:rFonts w:eastAsia="Times New Roman"/>
        </w:rPr>
        <w:t>, 351-368. doi:10.1093/pan/mpr057</w:t>
      </w:r>
    </w:p>
    <w:p w14:paraId="25A62139" w14:textId="77777777" w:rsidR="003058B0" w:rsidRPr="006A1F37" w:rsidRDefault="003058B0" w:rsidP="003058B0">
      <w:pPr>
        <w:autoSpaceDE w:val="0"/>
        <w:autoSpaceDN w:val="0"/>
        <w:adjustRightInd w:val="0"/>
        <w:spacing w:after="0" w:line="480" w:lineRule="auto"/>
        <w:ind w:left="720" w:hanging="720"/>
        <w:contextualSpacing/>
      </w:pPr>
      <w:r w:rsidRPr="006A1F37">
        <w:t xml:space="preserve">Cacioppo, J. T., &amp; Petty, R. E. (1982). The need for cognition. </w:t>
      </w:r>
      <w:r w:rsidRPr="006A1F37">
        <w:rPr>
          <w:i/>
        </w:rPr>
        <w:t>Journal of Personality and Social Psychology</w:t>
      </w:r>
      <w:r w:rsidRPr="006A1F37">
        <w:t xml:space="preserve">, </w:t>
      </w:r>
      <w:r w:rsidRPr="006A1F37">
        <w:rPr>
          <w:i/>
        </w:rPr>
        <w:t>42</w:t>
      </w:r>
      <w:r w:rsidRPr="006A1F37">
        <w:t xml:space="preserve">, 116-131. </w:t>
      </w:r>
      <w:proofErr w:type="spellStart"/>
      <w:r w:rsidRPr="006A1F37">
        <w:t>doi</w:t>
      </w:r>
      <w:proofErr w:type="spellEnd"/>
      <w:r w:rsidRPr="006A1F37">
        <w:t>: 10.1037/0022-3514.42.1.116</w:t>
      </w:r>
    </w:p>
    <w:p w14:paraId="71555255" w14:textId="77777777" w:rsidR="003058B0" w:rsidRPr="006A1F37" w:rsidRDefault="003058B0" w:rsidP="003058B0">
      <w:pPr>
        <w:autoSpaceDE w:val="0"/>
        <w:autoSpaceDN w:val="0"/>
        <w:adjustRightInd w:val="0"/>
        <w:spacing w:after="0" w:line="480" w:lineRule="auto"/>
        <w:ind w:left="720" w:hanging="720"/>
        <w:contextualSpacing/>
      </w:pPr>
      <w:r w:rsidRPr="006A1F37">
        <w:t xml:space="preserve">Campbell, A., Converse, P. E., Miller, W. E., &amp; Stokes, D. E. (1960). </w:t>
      </w:r>
      <w:r w:rsidRPr="006A1F37">
        <w:rPr>
          <w:i/>
        </w:rPr>
        <w:t>The American voter</w:t>
      </w:r>
      <w:r w:rsidRPr="006A1F37">
        <w:t>. New York: Wiley.</w:t>
      </w:r>
    </w:p>
    <w:p w14:paraId="6C808810" w14:textId="77777777" w:rsidR="003058B0" w:rsidRPr="006A1F37" w:rsidRDefault="003058B0" w:rsidP="003058B0">
      <w:pPr>
        <w:spacing w:after="0" w:line="480" w:lineRule="auto"/>
        <w:ind w:left="720" w:hanging="720"/>
        <w:contextualSpacing/>
        <w:rPr>
          <w:bCs/>
        </w:rPr>
      </w:pPr>
      <w:r w:rsidRPr="006A1F37">
        <w:rPr>
          <w:bCs/>
        </w:rPr>
        <w:t xml:space="preserve">Chen, P. G., Appleby, J., Borgida, E., Callaghan, T. H., Ekstrom, P. D., Farhart, C. E., … Williams, A. L. (2014). The Minnesota multi-investigator 2012 presidential election panel study. </w:t>
      </w:r>
      <w:r w:rsidRPr="006A1F37">
        <w:rPr>
          <w:bCs/>
          <w:i/>
        </w:rPr>
        <w:t>Analyses of Social Issues and Public Policy</w:t>
      </w:r>
      <w:r w:rsidRPr="006A1F37">
        <w:rPr>
          <w:bCs/>
        </w:rPr>
        <w:t xml:space="preserve">, </w:t>
      </w:r>
      <w:r w:rsidRPr="006A1F37">
        <w:rPr>
          <w:i/>
          <w:iCs/>
        </w:rPr>
        <w:t>14</w:t>
      </w:r>
      <w:r w:rsidRPr="006A1F37">
        <w:t xml:space="preserve">, 78-104. </w:t>
      </w:r>
      <w:proofErr w:type="spellStart"/>
      <w:r w:rsidRPr="006A1F37">
        <w:t>doi</w:t>
      </w:r>
      <w:proofErr w:type="spellEnd"/>
      <w:r w:rsidRPr="006A1F37">
        <w:t>: 10.1111/asap.12041</w:t>
      </w:r>
    </w:p>
    <w:p w14:paraId="38E68107" w14:textId="77777777" w:rsidR="003058B0" w:rsidRPr="006A1F37" w:rsidRDefault="003058B0" w:rsidP="003058B0">
      <w:pPr>
        <w:spacing w:after="0" w:line="480" w:lineRule="auto"/>
        <w:ind w:left="720" w:hanging="720"/>
        <w:contextualSpacing/>
        <w:rPr>
          <w:rFonts w:eastAsia="Times New Roman"/>
        </w:rPr>
      </w:pPr>
      <w:proofErr w:type="spellStart"/>
      <w:r w:rsidRPr="006A1F37">
        <w:rPr>
          <w:rFonts w:eastAsia="Times New Roman"/>
        </w:rPr>
        <w:t>DeBell</w:t>
      </w:r>
      <w:proofErr w:type="spellEnd"/>
      <w:r w:rsidRPr="006A1F37">
        <w:rPr>
          <w:rFonts w:eastAsia="Times New Roman"/>
        </w:rPr>
        <w:t xml:space="preserve">, M., Krosnick, J. A., &amp; Lupia, A. (2010). </w:t>
      </w:r>
      <w:r w:rsidRPr="006A1F37">
        <w:rPr>
          <w:rFonts w:eastAsia="Times New Roman"/>
          <w:i/>
        </w:rPr>
        <w:t>Methodology report and user’s guide for the 2008–2009 ANES panel study</w:t>
      </w:r>
      <w:r w:rsidRPr="006A1F37">
        <w:rPr>
          <w:rFonts w:eastAsia="Times New Roman"/>
        </w:rPr>
        <w:t xml:space="preserve">. Palo Alto, CA, and Ann Arbor, MI: Stanford University and the University of Michigan. </w:t>
      </w:r>
    </w:p>
    <w:p w14:paraId="2C2CCFC2" w14:textId="77777777" w:rsidR="003058B0" w:rsidRPr="006A1F37" w:rsidRDefault="003058B0" w:rsidP="003058B0">
      <w:pPr>
        <w:spacing w:after="0" w:line="480" w:lineRule="auto"/>
        <w:ind w:left="720" w:hanging="720"/>
        <w:contextualSpacing/>
        <w:rPr>
          <w:rFonts w:eastAsia="Times New Roman"/>
        </w:rPr>
      </w:pPr>
      <w:proofErr w:type="spellStart"/>
      <w:r w:rsidRPr="006A1F37">
        <w:rPr>
          <w:rFonts w:eastAsia="Times New Roman"/>
        </w:rPr>
        <w:t>Erisen</w:t>
      </w:r>
      <w:proofErr w:type="spellEnd"/>
      <w:r w:rsidRPr="006A1F37">
        <w:rPr>
          <w:rFonts w:eastAsia="Times New Roman"/>
        </w:rPr>
        <w:t xml:space="preserve">, E., &amp; </w:t>
      </w:r>
      <w:proofErr w:type="spellStart"/>
      <w:r w:rsidRPr="006A1F37">
        <w:rPr>
          <w:rFonts w:eastAsia="Times New Roman"/>
        </w:rPr>
        <w:t>Erisen</w:t>
      </w:r>
      <w:proofErr w:type="spellEnd"/>
      <w:r w:rsidRPr="006A1F37">
        <w:rPr>
          <w:rFonts w:eastAsia="Times New Roman"/>
        </w:rPr>
        <w:t xml:space="preserve">, C. (2012). The effect of social networks on the quality of political thinking. </w:t>
      </w:r>
      <w:r w:rsidRPr="006A1F37">
        <w:rPr>
          <w:rFonts w:eastAsia="Times New Roman"/>
          <w:i/>
        </w:rPr>
        <w:t>Political Psychology</w:t>
      </w:r>
      <w:r w:rsidRPr="006A1F37">
        <w:rPr>
          <w:rFonts w:eastAsia="Times New Roman"/>
        </w:rPr>
        <w:t xml:space="preserve">, </w:t>
      </w:r>
      <w:r w:rsidRPr="006A1F37">
        <w:rPr>
          <w:rFonts w:eastAsia="Times New Roman"/>
          <w:i/>
        </w:rPr>
        <w:t>33</w:t>
      </w:r>
      <w:r w:rsidRPr="006A1F37">
        <w:rPr>
          <w:rFonts w:eastAsia="Times New Roman"/>
        </w:rPr>
        <w:t xml:space="preserve">, 839-865. </w:t>
      </w:r>
      <w:proofErr w:type="spellStart"/>
      <w:r w:rsidRPr="006A1F37">
        <w:rPr>
          <w:rFonts w:eastAsia="Times New Roman"/>
        </w:rPr>
        <w:t>doi</w:t>
      </w:r>
      <w:proofErr w:type="spellEnd"/>
      <w:r w:rsidRPr="006A1F37">
        <w:rPr>
          <w:rFonts w:eastAsia="Times New Roman"/>
        </w:rPr>
        <w:t>: 10.1111/j.1467-9221.</w:t>
      </w:r>
      <w:proofErr w:type="gramStart"/>
      <w:r w:rsidRPr="006A1F37">
        <w:rPr>
          <w:rFonts w:eastAsia="Times New Roman"/>
        </w:rPr>
        <w:t>2012.00906.x</w:t>
      </w:r>
      <w:proofErr w:type="gramEnd"/>
    </w:p>
    <w:p w14:paraId="6734F9E8" w14:textId="77777777" w:rsidR="003058B0" w:rsidRPr="006A1F37" w:rsidRDefault="003058B0" w:rsidP="003058B0">
      <w:pPr>
        <w:spacing w:after="0" w:line="480" w:lineRule="auto"/>
        <w:ind w:left="720" w:hanging="720"/>
        <w:contextualSpacing/>
        <w:rPr>
          <w:rFonts w:eastAsia="Times New Roman"/>
        </w:rPr>
      </w:pPr>
      <w:proofErr w:type="spellStart"/>
      <w:r w:rsidRPr="006A1F37">
        <w:rPr>
          <w:rFonts w:eastAsia="Times New Roman"/>
        </w:rPr>
        <w:lastRenderedPageBreak/>
        <w:t>Eveland</w:t>
      </w:r>
      <w:proofErr w:type="spellEnd"/>
      <w:r w:rsidRPr="006A1F37">
        <w:rPr>
          <w:rFonts w:eastAsia="Times New Roman"/>
        </w:rPr>
        <w:t xml:space="preserve">, W. P., &amp; Hively, M. H. (2009). Political discussion frequency, network size, and “heterogeneity” of discussion as predictors of political knowledge and participation. </w:t>
      </w:r>
      <w:r w:rsidRPr="006A1F37">
        <w:rPr>
          <w:rFonts w:eastAsia="Times New Roman"/>
          <w:i/>
        </w:rPr>
        <w:t>Journal of Communication</w:t>
      </w:r>
      <w:r w:rsidRPr="006A1F37">
        <w:rPr>
          <w:rFonts w:eastAsia="Times New Roman"/>
        </w:rPr>
        <w:t xml:space="preserve">, </w:t>
      </w:r>
      <w:r w:rsidRPr="006A1F37">
        <w:rPr>
          <w:rFonts w:eastAsia="Times New Roman"/>
          <w:i/>
        </w:rPr>
        <w:t>59</w:t>
      </w:r>
      <w:r w:rsidRPr="006A1F37">
        <w:rPr>
          <w:rFonts w:eastAsia="Times New Roman"/>
        </w:rPr>
        <w:t xml:space="preserve">, 205-224. </w:t>
      </w:r>
      <w:proofErr w:type="spellStart"/>
      <w:r w:rsidRPr="006A1F37">
        <w:rPr>
          <w:rFonts w:eastAsia="Times New Roman"/>
        </w:rPr>
        <w:t>doi</w:t>
      </w:r>
      <w:proofErr w:type="spellEnd"/>
      <w:r w:rsidRPr="006A1F37">
        <w:rPr>
          <w:rFonts w:eastAsia="Times New Roman"/>
        </w:rPr>
        <w:t>: 10.1111/j.1460-2466.</w:t>
      </w:r>
      <w:proofErr w:type="gramStart"/>
      <w:r w:rsidRPr="006A1F37">
        <w:rPr>
          <w:rFonts w:eastAsia="Times New Roman"/>
        </w:rPr>
        <w:t>2009.01412.x</w:t>
      </w:r>
      <w:proofErr w:type="gramEnd"/>
    </w:p>
    <w:p w14:paraId="1056CC6D" w14:textId="13747E2C" w:rsidR="00862DAC" w:rsidRDefault="00862DAC" w:rsidP="003058B0">
      <w:pPr>
        <w:spacing w:after="0" w:line="480" w:lineRule="auto"/>
        <w:ind w:left="720" w:hanging="720"/>
        <w:contextualSpacing/>
        <w:rPr>
          <w:rFonts w:eastAsia="Times New Roman"/>
        </w:rPr>
      </w:pPr>
      <w:r>
        <w:rPr>
          <w:rFonts w:eastAsia="Times New Roman"/>
        </w:rPr>
        <w:t>Ewers, J. (2008</w:t>
      </w:r>
      <w:r w:rsidR="0054417E">
        <w:rPr>
          <w:rFonts w:eastAsia="Times New Roman"/>
        </w:rPr>
        <w:t>, October 23</w:t>
      </w:r>
      <w:r>
        <w:rPr>
          <w:rFonts w:eastAsia="Times New Roman"/>
        </w:rPr>
        <w:t>)</w:t>
      </w:r>
      <w:r w:rsidR="0054417E">
        <w:rPr>
          <w:rFonts w:eastAsia="Times New Roman"/>
        </w:rPr>
        <w:t xml:space="preserve">. Barack Obama and John McCain on abortion and gay marriage. </w:t>
      </w:r>
      <w:r w:rsidR="0054417E" w:rsidRPr="00DB4A5D">
        <w:rPr>
          <w:rFonts w:eastAsia="Times New Roman"/>
          <w:i/>
        </w:rPr>
        <w:t>U.S. News &amp; World Report</w:t>
      </w:r>
      <w:r w:rsidR="0054417E">
        <w:rPr>
          <w:rFonts w:eastAsia="Times New Roman"/>
        </w:rPr>
        <w:t xml:space="preserve">. Retrieved from: </w:t>
      </w:r>
      <w:r w:rsidR="0054417E" w:rsidRPr="0054417E">
        <w:rPr>
          <w:rFonts w:eastAsia="Times New Roman"/>
        </w:rPr>
        <w:t>https://www.usnews.com/news/campaign-2008/articles/2008/10/23/barack-obama-and-john-mccain-on-abortion-and-gay-marriage</w:t>
      </w:r>
    </w:p>
    <w:p w14:paraId="76642600"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Festinger, L. (1962). </w:t>
      </w:r>
      <w:r w:rsidRPr="006A1F37">
        <w:rPr>
          <w:rFonts w:eastAsia="Times New Roman"/>
          <w:i/>
          <w:iCs/>
        </w:rPr>
        <w:t>A theory of cognitive dissonance</w:t>
      </w:r>
      <w:r w:rsidRPr="006A1F37">
        <w:rPr>
          <w:rFonts w:eastAsia="Times New Roman"/>
        </w:rPr>
        <w:t>. Stanford, CA: Stanford University Press.</w:t>
      </w:r>
    </w:p>
    <w:p w14:paraId="18F6AFD0"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Goren, P. (1997). Political expertise and issue voting in presidential elections. </w:t>
      </w:r>
      <w:r w:rsidRPr="006A1F37">
        <w:rPr>
          <w:rFonts w:eastAsia="Times New Roman"/>
          <w:i/>
          <w:iCs/>
        </w:rPr>
        <w:t>Political Research Quarterly</w:t>
      </w:r>
      <w:r w:rsidRPr="006A1F37">
        <w:rPr>
          <w:rFonts w:eastAsia="Times New Roman"/>
          <w:iCs/>
        </w:rPr>
        <w:t>,</w:t>
      </w:r>
      <w:r w:rsidRPr="006A1F37">
        <w:rPr>
          <w:rFonts w:eastAsia="Times New Roman"/>
        </w:rPr>
        <w:t xml:space="preserve"> </w:t>
      </w:r>
      <w:r w:rsidRPr="006A1F37">
        <w:rPr>
          <w:rFonts w:eastAsia="Times New Roman"/>
          <w:i/>
          <w:iCs/>
        </w:rPr>
        <w:t>50</w:t>
      </w:r>
      <w:r w:rsidRPr="006A1F37">
        <w:rPr>
          <w:rFonts w:eastAsia="Times New Roman"/>
        </w:rPr>
        <w:t xml:space="preserve">, 387-412. </w:t>
      </w:r>
      <w:proofErr w:type="spellStart"/>
      <w:r w:rsidRPr="006A1F37">
        <w:rPr>
          <w:rFonts w:eastAsia="Times New Roman"/>
        </w:rPr>
        <w:t>doi</w:t>
      </w:r>
      <w:proofErr w:type="spellEnd"/>
      <w:r w:rsidRPr="006A1F37">
        <w:rPr>
          <w:rFonts w:eastAsia="Times New Roman"/>
        </w:rPr>
        <w:t>: 10.1177/106591299705000207</w:t>
      </w:r>
    </w:p>
    <w:p w14:paraId="49FD18A5"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Green, M. C., Visser, P. S., &amp; Tetlock, P. E. (2000). Coping with accountability cross-pressures: Low-effort evasive tactics and high-effort quests for complex compromises. </w:t>
      </w:r>
      <w:r w:rsidRPr="006A1F37">
        <w:rPr>
          <w:rFonts w:eastAsia="Times New Roman"/>
          <w:i/>
          <w:iCs/>
        </w:rPr>
        <w:t>Personality and Social Psychology Bulletin</w:t>
      </w:r>
      <w:r w:rsidRPr="006A1F37">
        <w:rPr>
          <w:rFonts w:eastAsia="Times New Roman"/>
          <w:iCs/>
        </w:rPr>
        <w:t>,</w:t>
      </w:r>
      <w:r w:rsidRPr="006A1F37">
        <w:rPr>
          <w:rFonts w:eastAsia="Times New Roman"/>
        </w:rPr>
        <w:t xml:space="preserve"> </w:t>
      </w:r>
      <w:r w:rsidRPr="006A1F37">
        <w:rPr>
          <w:rFonts w:eastAsia="Times New Roman"/>
          <w:i/>
          <w:iCs/>
        </w:rPr>
        <w:t>26</w:t>
      </w:r>
      <w:r w:rsidRPr="006A1F37">
        <w:rPr>
          <w:rFonts w:eastAsia="Times New Roman"/>
        </w:rPr>
        <w:t xml:space="preserve">, 1380-1391. </w:t>
      </w:r>
      <w:proofErr w:type="spellStart"/>
      <w:r w:rsidRPr="006A1F37">
        <w:rPr>
          <w:rFonts w:eastAsia="Times New Roman"/>
        </w:rPr>
        <w:t>doi</w:t>
      </w:r>
      <w:proofErr w:type="spellEnd"/>
      <w:r w:rsidRPr="006A1F37">
        <w:rPr>
          <w:rFonts w:eastAsia="Times New Roman"/>
        </w:rPr>
        <w:t>: 10.1177/0146167200263006</w:t>
      </w:r>
    </w:p>
    <w:p w14:paraId="0DA7536D" w14:textId="77777777" w:rsidR="003058B0" w:rsidRPr="006A1F37" w:rsidRDefault="003058B0" w:rsidP="003058B0">
      <w:pPr>
        <w:pStyle w:val="NoSpacing"/>
        <w:spacing w:line="480" w:lineRule="auto"/>
        <w:ind w:left="720" w:hanging="720"/>
      </w:pPr>
      <w:r w:rsidRPr="006A1F37">
        <w:t xml:space="preserve">Harris, M., &amp; Zhao, X. (2007). A zero-inflated ordered </w:t>
      </w:r>
      <w:proofErr w:type="spellStart"/>
      <w:r w:rsidRPr="006A1F37">
        <w:t>probit</w:t>
      </w:r>
      <w:proofErr w:type="spellEnd"/>
      <w:r w:rsidRPr="006A1F37">
        <w:t xml:space="preserve"> model, with an application to modelling tobacco consumption. </w:t>
      </w:r>
      <w:r w:rsidRPr="006A1F37">
        <w:rPr>
          <w:i/>
        </w:rPr>
        <w:t>Journal of Econometrics</w:t>
      </w:r>
      <w:r w:rsidRPr="006A1F37">
        <w:t xml:space="preserve">, </w:t>
      </w:r>
      <w:r w:rsidRPr="006A1F37">
        <w:rPr>
          <w:i/>
        </w:rPr>
        <w:t>14</w:t>
      </w:r>
      <w:r w:rsidRPr="006A1F37">
        <w:t xml:space="preserve">, 1073–1099. </w:t>
      </w:r>
      <w:proofErr w:type="spellStart"/>
      <w:r w:rsidRPr="006A1F37">
        <w:t>doi</w:t>
      </w:r>
      <w:proofErr w:type="spellEnd"/>
      <w:r w:rsidRPr="006A1F37">
        <w:t>: 10.1016/j.jeconom.2007.01.002</w:t>
      </w:r>
    </w:p>
    <w:p w14:paraId="67383C23" w14:textId="77777777" w:rsidR="003058B0" w:rsidRPr="006A1F37" w:rsidRDefault="003058B0" w:rsidP="003058B0">
      <w:pPr>
        <w:spacing w:after="0" w:line="480" w:lineRule="auto"/>
        <w:ind w:left="720" w:hanging="720"/>
        <w:contextualSpacing/>
        <w:rPr>
          <w:rFonts w:eastAsia="Times New Roman"/>
        </w:rPr>
      </w:pPr>
      <w:r w:rsidRPr="006A1F37">
        <w:t xml:space="preserve">Heider, F. (1958). </w:t>
      </w:r>
      <w:r w:rsidRPr="006A1F37">
        <w:rPr>
          <w:i/>
        </w:rPr>
        <w:t>The psychology of interpersonal relations.</w:t>
      </w:r>
      <w:r w:rsidRPr="006A1F37">
        <w:t xml:space="preserve"> New York: John Wiley.</w:t>
      </w:r>
    </w:p>
    <w:p w14:paraId="7367E5C0" w14:textId="77777777" w:rsidR="003058B0" w:rsidRPr="006A1F37" w:rsidRDefault="003058B0" w:rsidP="003058B0">
      <w:pPr>
        <w:spacing w:after="0" w:line="480" w:lineRule="auto"/>
        <w:ind w:left="720" w:hanging="720"/>
        <w:contextualSpacing/>
        <w:rPr>
          <w:rFonts w:eastAsia="Times New Roman"/>
        </w:rPr>
      </w:pPr>
      <w:proofErr w:type="spellStart"/>
      <w:r w:rsidRPr="006A1F37">
        <w:rPr>
          <w:rFonts w:eastAsia="Times New Roman"/>
        </w:rPr>
        <w:t>Hillygus</w:t>
      </w:r>
      <w:proofErr w:type="spellEnd"/>
      <w:r w:rsidRPr="006A1F37">
        <w:rPr>
          <w:rFonts w:eastAsia="Times New Roman"/>
        </w:rPr>
        <w:t xml:space="preserve">, D. S., &amp; Shields, T. G. (2008). </w:t>
      </w:r>
      <w:r w:rsidRPr="006A1F37">
        <w:rPr>
          <w:rFonts w:eastAsia="Times New Roman"/>
          <w:i/>
        </w:rPr>
        <w:t>The persuadable voter</w:t>
      </w:r>
      <w:r w:rsidRPr="006A1F37">
        <w:rPr>
          <w:rFonts w:eastAsia="Times New Roman"/>
        </w:rPr>
        <w:t xml:space="preserve">. </w:t>
      </w:r>
      <w:r w:rsidRPr="006A1F37">
        <w:rPr>
          <w:rFonts w:eastAsia="Times New Roman"/>
          <w:iCs/>
        </w:rPr>
        <w:t>Princeton, NJ: Princeton University Press</w:t>
      </w:r>
      <w:r w:rsidRPr="006A1F37">
        <w:rPr>
          <w:rFonts w:eastAsia="Times New Roman"/>
        </w:rPr>
        <w:t>.</w:t>
      </w:r>
    </w:p>
    <w:p w14:paraId="73E5EB30"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Huckfeldt, R., Johnson, P. E., &amp; Sprague, J. (2004). </w:t>
      </w:r>
      <w:r w:rsidRPr="006A1F37">
        <w:rPr>
          <w:rFonts w:eastAsia="Times New Roman"/>
          <w:i/>
          <w:iCs/>
        </w:rPr>
        <w:t>Political disagreement: The survival of diverse opinions within communication networks</w:t>
      </w:r>
      <w:r w:rsidRPr="006A1F37">
        <w:rPr>
          <w:rFonts w:eastAsia="Times New Roman"/>
        </w:rPr>
        <w:t>. New York: Cambridge University Press.</w:t>
      </w:r>
    </w:p>
    <w:p w14:paraId="567C74C4" w14:textId="77777777" w:rsidR="003058B0" w:rsidRPr="006A1F37" w:rsidRDefault="003058B0" w:rsidP="003058B0">
      <w:pPr>
        <w:spacing w:after="0" w:line="480" w:lineRule="auto"/>
        <w:ind w:left="720" w:hanging="720"/>
        <w:contextualSpacing/>
      </w:pPr>
      <w:r w:rsidRPr="006A1F37">
        <w:t xml:space="preserve">Huckfeldt, R., &amp; Lake, R. L. D. (2000). </w:t>
      </w:r>
      <w:r w:rsidRPr="006A1F37">
        <w:rPr>
          <w:i/>
          <w:iCs/>
        </w:rPr>
        <w:t>A report on the social network battery in the 1998 American National Election Study pilot study</w:t>
      </w:r>
      <w:r w:rsidRPr="006A1F37">
        <w:t xml:space="preserve">, ANES Pilot Study Report, No. nes010110. </w:t>
      </w:r>
    </w:p>
    <w:p w14:paraId="7F98656E"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lastRenderedPageBreak/>
        <w:t xml:space="preserve">Huckfeldt, R., &amp; Mendez, J. M. (2008). Moths, flames, and political engagement: Managing disagreement within communication networks. </w:t>
      </w:r>
      <w:r w:rsidRPr="006A1F37">
        <w:rPr>
          <w:rFonts w:eastAsia="Times New Roman"/>
          <w:i/>
          <w:iCs/>
        </w:rPr>
        <w:t>The Journal of Politics</w:t>
      </w:r>
      <w:r w:rsidRPr="006A1F37">
        <w:rPr>
          <w:rFonts w:eastAsia="Times New Roman"/>
          <w:iCs/>
        </w:rPr>
        <w:t>,</w:t>
      </w:r>
      <w:r w:rsidRPr="006A1F37">
        <w:rPr>
          <w:rFonts w:eastAsia="Times New Roman"/>
        </w:rPr>
        <w:t xml:space="preserve"> </w:t>
      </w:r>
      <w:r w:rsidRPr="006A1F37">
        <w:rPr>
          <w:rFonts w:eastAsia="Times New Roman"/>
          <w:i/>
          <w:iCs/>
        </w:rPr>
        <w:t>70</w:t>
      </w:r>
      <w:r w:rsidRPr="006A1F37">
        <w:rPr>
          <w:rFonts w:eastAsia="Times New Roman"/>
        </w:rPr>
        <w:t xml:space="preserve">, 83-96. </w:t>
      </w:r>
      <w:proofErr w:type="spellStart"/>
      <w:r w:rsidRPr="006A1F37">
        <w:rPr>
          <w:rFonts w:eastAsia="Times New Roman"/>
        </w:rPr>
        <w:t>doi</w:t>
      </w:r>
      <w:proofErr w:type="spellEnd"/>
      <w:r w:rsidRPr="006A1F37">
        <w:rPr>
          <w:rFonts w:eastAsia="Times New Roman"/>
        </w:rPr>
        <w:t>: 10.1017/S0022381607080073</w:t>
      </w:r>
    </w:p>
    <w:p w14:paraId="14783230"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Huckfeldt, R., Mendez, J. M., &amp; Osborn, T. (2004). Disagreement, ambivalence, and engagement: The political consequences of heterogeneous networks. </w:t>
      </w:r>
      <w:r w:rsidRPr="006A1F37">
        <w:rPr>
          <w:rFonts w:eastAsia="Times New Roman"/>
          <w:i/>
          <w:iCs/>
        </w:rPr>
        <w:t>Political Psychology</w:t>
      </w:r>
      <w:r w:rsidRPr="006A1F37">
        <w:rPr>
          <w:rFonts w:eastAsia="Times New Roman"/>
          <w:iCs/>
        </w:rPr>
        <w:t>,</w:t>
      </w:r>
      <w:r w:rsidRPr="006A1F37">
        <w:rPr>
          <w:rFonts w:eastAsia="Times New Roman"/>
        </w:rPr>
        <w:t xml:space="preserve"> </w:t>
      </w:r>
      <w:r w:rsidRPr="006A1F37">
        <w:rPr>
          <w:rFonts w:eastAsia="Times New Roman"/>
          <w:i/>
          <w:iCs/>
        </w:rPr>
        <w:t>25</w:t>
      </w:r>
      <w:r w:rsidRPr="006A1F37">
        <w:rPr>
          <w:rFonts w:eastAsia="Times New Roman"/>
        </w:rPr>
        <w:t xml:space="preserve">, 65-95. </w:t>
      </w:r>
      <w:proofErr w:type="spellStart"/>
      <w:r w:rsidRPr="006A1F37">
        <w:rPr>
          <w:rFonts w:eastAsia="Times New Roman"/>
        </w:rPr>
        <w:t>doi</w:t>
      </w:r>
      <w:proofErr w:type="spellEnd"/>
      <w:r w:rsidRPr="006A1F37">
        <w:rPr>
          <w:rFonts w:eastAsia="Times New Roman"/>
        </w:rPr>
        <w:t>: 10.1111/j.1467-9221.</w:t>
      </w:r>
      <w:proofErr w:type="gramStart"/>
      <w:r w:rsidRPr="006A1F37">
        <w:rPr>
          <w:rFonts w:eastAsia="Times New Roman"/>
        </w:rPr>
        <w:t>2004.00357.x</w:t>
      </w:r>
      <w:proofErr w:type="gramEnd"/>
    </w:p>
    <w:p w14:paraId="622A0D6A"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Huckfeldt, R., &amp; Sprague, J. (1995). </w:t>
      </w:r>
      <w:r w:rsidRPr="006A1F37">
        <w:rPr>
          <w:i/>
          <w:iCs/>
        </w:rPr>
        <w:t>Citizens, politics, and</w:t>
      </w:r>
      <w:r w:rsidRPr="006A1F37">
        <w:rPr>
          <w:rFonts w:eastAsia="Times New Roman"/>
        </w:rPr>
        <w:t xml:space="preserve"> </w:t>
      </w:r>
      <w:r w:rsidRPr="006A1F37">
        <w:rPr>
          <w:i/>
          <w:iCs/>
          <w:szCs w:val="22"/>
        </w:rPr>
        <w:t>social communication: Information and influence in an election</w:t>
      </w:r>
      <w:r w:rsidRPr="006A1F37">
        <w:rPr>
          <w:rFonts w:eastAsia="Times New Roman"/>
        </w:rPr>
        <w:t xml:space="preserve"> </w:t>
      </w:r>
      <w:r w:rsidRPr="006A1F37">
        <w:rPr>
          <w:i/>
          <w:iCs/>
          <w:szCs w:val="22"/>
        </w:rPr>
        <w:t xml:space="preserve">campaign. </w:t>
      </w:r>
      <w:r w:rsidRPr="006A1F37">
        <w:rPr>
          <w:szCs w:val="22"/>
        </w:rPr>
        <w:t>New York: Cambridge University Press.</w:t>
      </w:r>
      <w:r w:rsidRPr="006A1F37">
        <w:rPr>
          <w:rFonts w:eastAsia="Times New Roman"/>
        </w:rPr>
        <w:t xml:space="preserve"> </w:t>
      </w:r>
    </w:p>
    <w:p w14:paraId="02517B45"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Kahn, K. F., &amp; Kenney, P. J. (1997). A model of candidate evaluations in senate elections: The impact of campaign intensity. </w:t>
      </w:r>
      <w:r w:rsidRPr="006A1F37">
        <w:rPr>
          <w:rFonts w:eastAsia="Times New Roman"/>
          <w:i/>
          <w:iCs/>
        </w:rPr>
        <w:t>The Journal of Politics</w:t>
      </w:r>
      <w:r w:rsidRPr="006A1F37">
        <w:rPr>
          <w:rFonts w:eastAsia="Times New Roman"/>
          <w:iCs/>
        </w:rPr>
        <w:t>,</w:t>
      </w:r>
      <w:r w:rsidRPr="006A1F37">
        <w:rPr>
          <w:rFonts w:eastAsia="Times New Roman"/>
        </w:rPr>
        <w:t xml:space="preserve"> </w:t>
      </w:r>
      <w:r w:rsidRPr="006A1F37">
        <w:rPr>
          <w:rFonts w:eastAsia="Times New Roman"/>
          <w:i/>
          <w:iCs/>
        </w:rPr>
        <w:t>59</w:t>
      </w:r>
      <w:r w:rsidRPr="006A1F37">
        <w:rPr>
          <w:rFonts w:eastAsia="Times New Roman"/>
        </w:rPr>
        <w:t xml:space="preserve">, 1173-1205. </w:t>
      </w:r>
      <w:proofErr w:type="spellStart"/>
      <w:r w:rsidRPr="006A1F37">
        <w:rPr>
          <w:rFonts w:eastAsia="Times New Roman"/>
        </w:rPr>
        <w:t>doi</w:t>
      </w:r>
      <w:proofErr w:type="spellEnd"/>
      <w:r w:rsidRPr="006A1F37">
        <w:rPr>
          <w:rFonts w:eastAsia="Times New Roman"/>
        </w:rPr>
        <w:t>: 10.2307/2998597</w:t>
      </w:r>
    </w:p>
    <w:p w14:paraId="0AF2BECA" w14:textId="77777777" w:rsidR="003058B0" w:rsidRPr="006A1F37" w:rsidRDefault="003058B0" w:rsidP="003058B0">
      <w:pPr>
        <w:spacing w:line="480" w:lineRule="auto"/>
        <w:ind w:left="720" w:hanging="720"/>
        <w:contextualSpacing/>
      </w:pPr>
      <w:proofErr w:type="spellStart"/>
      <w:r w:rsidRPr="006A1F37">
        <w:t>Klofstad</w:t>
      </w:r>
      <w:proofErr w:type="spellEnd"/>
      <w:r w:rsidRPr="006A1F37">
        <w:t xml:space="preserve">, C. A., </w:t>
      </w:r>
      <w:proofErr w:type="spellStart"/>
      <w:r w:rsidRPr="006A1F37">
        <w:t>Sokhey</w:t>
      </w:r>
      <w:proofErr w:type="spellEnd"/>
      <w:r w:rsidRPr="006A1F37">
        <w:t xml:space="preserve">, A. E., &amp; McClurg, S. D. (2013). Disagreeing about disagreement: How conflict in social networks affects political behavior. </w:t>
      </w:r>
      <w:r w:rsidRPr="006A1F37">
        <w:rPr>
          <w:i/>
          <w:iCs/>
        </w:rPr>
        <w:t>American Journal of Political Science</w:t>
      </w:r>
      <w:r w:rsidRPr="006A1F37">
        <w:rPr>
          <w:iCs/>
        </w:rPr>
        <w:t>,</w:t>
      </w:r>
      <w:r w:rsidRPr="006A1F37">
        <w:t xml:space="preserve"> </w:t>
      </w:r>
      <w:r w:rsidRPr="006A1F37">
        <w:rPr>
          <w:i/>
        </w:rPr>
        <w:t>57</w:t>
      </w:r>
      <w:r w:rsidRPr="006A1F37">
        <w:t xml:space="preserve">, 120-134. </w:t>
      </w:r>
      <w:proofErr w:type="spellStart"/>
      <w:r w:rsidRPr="006A1F37">
        <w:t>doi</w:t>
      </w:r>
      <w:proofErr w:type="spellEnd"/>
      <w:r w:rsidRPr="006A1F37">
        <w:t>: 10.1111/j.1540-5907.</w:t>
      </w:r>
      <w:proofErr w:type="gramStart"/>
      <w:r w:rsidRPr="006A1F37">
        <w:t>2012.00620.x</w:t>
      </w:r>
      <w:proofErr w:type="gramEnd"/>
    </w:p>
    <w:p w14:paraId="09C07DD6"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Lavine, H. G., Johnston, C. D., &amp; </w:t>
      </w:r>
      <w:proofErr w:type="spellStart"/>
      <w:r w:rsidRPr="006A1F37">
        <w:rPr>
          <w:rFonts w:eastAsia="Times New Roman"/>
        </w:rPr>
        <w:t>Steenbergen</w:t>
      </w:r>
      <w:proofErr w:type="spellEnd"/>
      <w:r w:rsidRPr="006A1F37">
        <w:rPr>
          <w:rFonts w:eastAsia="Times New Roman"/>
        </w:rPr>
        <w:t xml:space="preserve">, M. R. (2012). </w:t>
      </w:r>
      <w:r w:rsidRPr="006A1F37">
        <w:rPr>
          <w:rFonts w:eastAsia="Times New Roman"/>
          <w:i/>
          <w:iCs/>
        </w:rPr>
        <w:t>The ambivalent partisan: How critical loyalty promotes democracy</w:t>
      </w:r>
      <w:r w:rsidRPr="006A1F37">
        <w:rPr>
          <w:rFonts w:eastAsia="Times New Roman"/>
        </w:rPr>
        <w:t>. New York: Oxford University Press.</w:t>
      </w:r>
    </w:p>
    <w:p w14:paraId="6A0C7D47" w14:textId="2DDFF0C5" w:rsidR="006A1F37" w:rsidRDefault="006A1F37" w:rsidP="006A1F37">
      <w:pPr>
        <w:spacing w:line="480" w:lineRule="auto"/>
        <w:ind w:left="720" w:hanging="720"/>
        <w:contextualSpacing/>
      </w:pPr>
      <w:r w:rsidRPr="006A1F37">
        <w:t xml:space="preserve">Marcus, G. E., Neuman, W. R., &amp; </w:t>
      </w:r>
      <w:proofErr w:type="spellStart"/>
      <w:r w:rsidRPr="006A1F37">
        <w:t>MacKuen</w:t>
      </w:r>
      <w:proofErr w:type="spellEnd"/>
      <w:r w:rsidRPr="006A1F37">
        <w:t xml:space="preserve">, M. (2000). </w:t>
      </w:r>
      <w:r w:rsidRPr="006A1F37">
        <w:rPr>
          <w:i/>
          <w:iCs/>
        </w:rPr>
        <w:t>Affective intelligence and political judgment</w:t>
      </w:r>
      <w:r w:rsidRPr="006A1F37">
        <w:t>. University of Chicago Press.</w:t>
      </w:r>
    </w:p>
    <w:p w14:paraId="03246E71" w14:textId="3F83397F" w:rsidR="00696FC0" w:rsidRPr="006A1F37" w:rsidRDefault="00696FC0" w:rsidP="00696FC0">
      <w:pPr>
        <w:spacing w:line="480" w:lineRule="auto"/>
        <w:ind w:left="720" w:hanging="720"/>
        <w:contextualSpacing/>
      </w:pPr>
      <w:r w:rsidRPr="00696FC0">
        <w:t xml:space="preserve">McClurg, S. D. (2006). The electoral relevance of political talk: Examining disagreement and expertise effects in social networks on political participation. </w:t>
      </w:r>
      <w:r w:rsidRPr="00696FC0">
        <w:rPr>
          <w:i/>
          <w:iCs/>
        </w:rPr>
        <w:t>American Journal of Political Science</w:t>
      </w:r>
      <w:r w:rsidRPr="00696FC0">
        <w:t xml:space="preserve">, </w:t>
      </w:r>
      <w:r w:rsidRPr="00696FC0">
        <w:rPr>
          <w:i/>
          <w:iCs/>
        </w:rPr>
        <w:t>50</w:t>
      </w:r>
      <w:r w:rsidRPr="00696FC0">
        <w:t>, 737-754.</w:t>
      </w:r>
    </w:p>
    <w:p w14:paraId="4B2B102F" w14:textId="77777777" w:rsidR="003058B0" w:rsidRPr="006A1F37" w:rsidRDefault="003058B0" w:rsidP="003058B0">
      <w:pPr>
        <w:spacing w:line="480" w:lineRule="auto"/>
        <w:ind w:left="720" w:hanging="720"/>
        <w:contextualSpacing/>
      </w:pPr>
      <w:r w:rsidRPr="006A1F37">
        <w:t xml:space="preserve">Mutz, D. C. (2002a). Cross-cutting social networks: Testing democratic theory in practice. </w:t>
      </w:r>
      <w:r w:rsidRPr="006A1F37">
        <w:rPr>
          <w:i/>
        </w:rPr>
        <w:t>American Political Science Review</w:t>
      </w:r>
      <w:r w:rsidRPr="006A1F37">
        <w:t>,</w:t>
      </w:r>
      <w:r w:rsidRPr="006A1F37">
        <w:rPr>
          <w:i/>
        </w:rPr>
        <w:t xml:space="preserve"> 96</w:t>
      </w:r>
      <w:r w:rsidRPr="006A1F37">
        <w:t xml:space="preserve">, 111-126. </w:t>
      </w:r>
      <w:proofErr w:type="spellStart"/>
      <w:r w:rsidRPr="006A1F37">
        <w:t>doi</w:t>
      </w:r>
      <w:proofErr w:type="spellEnd"/>
      <w:r w:rsidRPr="006A1F37">
        <w:t>: 10.1017/S0003055402004264</w:t>
      </w:r>
    </w:p>
    <w:p w14:paraId="4E18A986" w14:textId="77777777" w:rsidR="003058B0" w:rsidRPr="006A1F37" w:rsidRDefault="003058B0" w:rsidP="003058B0">
      <w:pPr>
        <w:spacing w:line="480" w:lineRule="auto"/>
        <w:ind w:left="720" w:hanging="720"/>
        <w:contextualSpacing/>
      </w:pPr>
      <w:r w:rsidRPr="006A1F37">
        <w:lastRenderedPageBreak/>
        <w:t xml:space="preserve">Mutz, D. C. (2002b). The consequences of cross-cutting networks for political participation. </w:t>
      </w:r>
      <w:r w:rsidRPr="006A1F37">
        <w:rPr>
          <w:i/>
        </w:rPr>
        <w:t>American Journal of Political Science</w:t>
      </w:r>
      <w:r w:rsidRPr="006A1F37">
        <w:t>,</w:t>
      </w:r>
      <w:r w:rsidRPr="006A1F37">
        <w:rPr>
          <w:i/>
        </w:rPr>
        <w:t xml:space="preserve"> 46</w:t>
      </w:r>
      <w:r w:rsidRPr="006A1F37">
        <w:t xml:space="preserve">, 838-855. </w:t>
      </w:r>
      <w:proofErr w:type="spellStart"/>
      <w:r w:rsidRPr="006A1F37">
        <w:t>doi</w:t>
      </w:r>
      <w:proofErr w:type="spellEnd"/>
      <w:r w:rsidRPr="006A1F37">
        <w:t>: 10.2307/3088437</w:t>
      </w:r>
    </w:p>
    <w:p w14:paraId="232C5A57" w14:textId="77777777" w:rsidR="003058B0" w:rsidRPr="006A1F37" w:rsidRDefault="003058B0" w:rsidP="003058B0">
      <w:pPr>
        <w:spacing w:line="480" w:lineRule="auto"/>
        <w:ind w:left="720" w:hanging="720"/>
        <w:contextualSpacing/>
      </w:pPr>
      <w:r w:rsidRPr="006A1F37">
        <w:t xml:space="preserve">Mutz, D. C. (2006). </w:t>
      </w:r>
      <w:r w:rsidRPr="006A1F37">
        <w:rPr>
          <w:i/>
        </w:rPr>
        <w:t xml:space="preserve">Hearing the other side. </w:t>
      </w:r>
      <w:r w:rsidRPr="006A1F37">
        <w:t>New York: Cambridge University Press.</w:t>
      </w:r>
    </w:p>
    <w:p w14:paraId="77927B37"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Nir, L. (2005). Ambivalent social networks and their consequences for participation. </w:t>
      </w:r>
      <w:r w:rsidRPr="006A1F37">
        <w:rPr>
          <w:rFonts w:eastAsia="Times New Roman"/>
          <w:i/>
          <w:iCs/>
        </w:rPr>
        <w:t>International Journal of Public Opinion Research</w:t>
      </w:r>
      <w:r w:rsidRPr="006A1F37">
        <w:rPr>
          <w:rFonts w:eastAsia="Times New Roman"/>
          <w:iCs/>
        </w:rPr>
        <w:t>,</w:t>
      </w:r>
      <w:r w:rsidRPr="006A1F37">
        <w:rPr>
          <w:rFonts w:eastAsia="Times New Roman"/>
        </w:rPr>
        <w:t xml:space="preserve"> </w:t>
      </w:r>
      <w:r w:rsidRPr="006A1F37">
        <w:rPr>
          <w:rFonts w:eastAsia="Times New Roman"/>
          <w:i/>
          <w:iCs/>
        </w:rPr>
        <w:t>17</w:t>
      </w:r>
      <w:r w:rsidRPr="006A1F37">
        <w:rPr>
          <w:rFonts w:eastAsia="Times New Roman"/>
        </w:rPr>
        <w:t xml:space="preserve">, 422-442. </w:t>
      </w:r>
      <w:proofErr w:type="spellStart"/>
      <w:r w:rsidRPr="006A1F37">
        <w:rPr>
          <w:rFonts w:eastAsia="Times New Roman"/>
        </w:rPr>
        <w:t>doi</w:t>
      </w:r>
      <w:proofErr w:type="spellEnd"/>
      <w:r w:rsidRPr="006A1F37">
        <w:rPr>
          <w:rFonts w:eastAsia="Times New Roman"/>
        </w:rPr>
        <w:t>: 10.1093/</w:t>
      </w:r>
      <w:proofErr w:type="spellStart"/>
      <w:r w:rsidRPr="006A1F37">
        <w:rPr>
          <w:rFonts w:eastAsia="Times New Roman"/>
        </w:rPr>
        <w:t>ijpor</w:t>
      </w:r>
      <w:proofErr w:type="spellEnd"/>
      <w:r w:rsidRPr="006A1F37">
        <w:rPr>
          <w:rFonts w:eastAsia="Times New Roman"/>
        </w:rPr>
        <w:t>/edh069</w:t>
      </w:r>
    </w:p>
    <w:p w14:paraId="498DF55A" w14:textId="64F56ACA" w:rsidR="003058B0" w:rsidRDefault="003058B0" w:rsidP="003058B0">
      <w:pPr>
        <w:spacing w:after="0" w:line="480" w:lineRule="auto"/>
        <w:ind w:left="720" w:hanging="720"/>
        <w:contextualSpacing/>
      </w:pPr>
      <w:r w:rsidRPr="006A1F37">
        <w:t xml:space="preserve">Parsons, B. M. (2010). Social networks and the affective impact of political disagreement. </w:t>
      </w:r>
      <w:r w:rsidRPr="006A1F37">
        <w:rPr>
          <w:i/>
          <w:iCs/>
        </w:rPr>
        <w:t>Political Behavior</w:t>
      </w:r>
      <w:r w:rsidRPr="006A1F37">
        <w:rPr>
          <w:iCs/>
        </w:rPr>
        <w:t>,</w:t>
      </w:r>
      <w:r w:rsidRPr="006A1F37">
        <w:t xml:space="preserve"> </w:t>
      </w:r>
      <w:r w:rsidRPr="006A1F37">
        <w:rPr>
          <w:i/>
          <w:iCs/>
        </w:rPr>
        <w:t>32</w:t>
      </w:r>
      <w:r w:rsidRPr="006A1F37">
        <w:t xml:space="preserve">, 181-204. </w:t>
      </w:r>
      <w:proofErr w:type="spellStart"/>
      <w:r w:rsidRPr="006A1F37">
        <w:t>doi</w:t>
      </w:r>
      <w:proofErr w:type="spellEnd"/>
      <w:r w:rsidRPr="006A1F37">
        <w:t>: 10.1007/s11109-009-9100-6</w:t>
      </w:r>
    </w:p>
    <w:p w14:paraId="360EA844" w14:textId="4FB96DBF" w:rsidR="00D66FED" w:rsidRPr="006A1F37" w:rsidRDefault="00D66FED" w:rsidP="003058B0">
      <w:pPr>
        <w:spacing w:after="0" w:line="480" w:lineRule="auto"/>
        <w:ind w:left="720" w:hanging="720"/>
        <w:contextualSpacing/>
      </w:pPr>
      <w:r>
        <w:t xml:space="preserve">Pew Research Center (2017). </w:t>
      </w:r>
      <w:r>
        <w:rPr>
          <w:i/>
          <w:iCs/>
        </w:rPr>
        <w:t xml:space="preserve">Political Polarization, 1994-2017. </w:t>
      </w:r>
      <w:r>
        <w:t xml:space="preserve">Retrieved from Pew Research Center: </w:t>
      </w:r>
      <w:r w:rsidRPr="00D66FED">
        <w:t>www.people-press.org/interactives/political-polarization-1994-2017/</w:t>
      </w:r>
    </w:p>
    <w:p w14:paraId="7FF6CB08" w14:textId="0A19C404" w:rsidR="00862DAC" w:rsidRDefault="00862DAC" w:rsidP="003058B0">
      <w:pPr>
        <w:spacing w:line="480" w:lineRule="auto"/>
        <w:ind w:left="720" w:hanging="720"/>
        <w:contextualSpacing/>
      </w:pPr>
      <w:r>
        <w:t xml:space="preserve">Saad, L. (2008). Economy reigns supreme for voters [Blog post]. Retrieved from: </w:t>
      </w:r>
      <w:r w:rsidRPr="00862DAC">
        <w:t>https://news.gallup.com/poll/111586/economy-reigns-supreme-voters.aspx</w:t>
      </w:r>
    </w:p>
    <w:p w14:paraId="7BD2E262" w14:textId="03655445" w:rsidR="00862DAC" w:rsidRDefault="00862DAC" w:rsidP="003058B0">
      <w:pPr>
        <w:spacing w:line="480" w:lineRule="auto"/>
        <w:ind w:left="720" w:hanging="720"/>
        <w:contextualSpacing/>
      </w:pPr>
      <w:r>
        <w:t xml:space="preserve">Saad, L. (2012). Economy is dominant issue for Americans as election nears [Blog post]. Retrieved from: </w:t>
      </w:r>
      <w:r w:rsidRPr="005146DA">
        <w:t>https://news.gallup.com/poll/158267/economy-dominant-issue-americans-election-nears.aspx</w:t>
      </w:r>
    </w:p>
    <w:p w14:paraId="660A47A6" w14:textId="77777777" w:rsidR="003058B0" w:rsidRPr="006A1F37" w:rsidRDefault="003058B0" w:rsidP="003058B0">
      <w:pPr>
        <w:spacing w:line="480" w:lineRule="auto"/>
        <w:ind w:left="720" w:hanging="720"/>
        <w:contextualSpacing/>
      </w:pPr>
      <w:proofErr w:type="spellStart"/>
      <w:r w:rsidRPr="006A1F37">
        <w:t>Scheufele</w:t>
      </w:r>
      <w:proofErr w:type="spellEnd"/>
      <w:r w:rsidRPr="006A1F37">
        <w:t xml:space="preserve">, D. A., Nisbet, M. C., Brossard, D., &amp; Nisbet, E. C. (2004). Social structure and citizenship: Examining the impacts of social setting, network heterogeneity, and informational variables on political participation. </w:t>
      </w:r>
      <w:r w:rsidRPr="006A1F37">
        <w:rPr>
          <w:i/>
        </w:rPr>
        <w:t>Political Communication</w:t>
      </w:r>
      <w:r w:rsidRPr="006A1F37">
        <w:t xml:space="preserve">, </w:t>
      </w:r>
      <w:r w:rsidRPr="006A1F37">
        <w:rPr>
          <w:i/>
        </w:rPr>
        <w:t>21</w:t>
      </w:r>
      <w:r w:rsidRPr="006A1F37">
        <w:t xml:space="preserve">, 315-338. </w:t>
      </w:r>
      <w:proofErr w:type="spellStart"/>
      <w:r w:rsidRPr="006A1F37">
        <w:t>doi</w:t>
      </w:r>
      <w:proofErr w:type="spellEnd"/>
      <w:r w:rsidRPr="006A1F37">
        <w:t>: 10.1080/10584600490481389</w:t>
      </w:r>
    </w:p>
    <w:p w14:paraId="336B8FDC" w14:textId="77777777" w:rsidR="003058B0" w:rsidRPr="006A1F37" w:rsidRDefault="003058B0" w:rsidP="003058B0">
      <w:pPr>
        <w:spacing w:line="480" w:lineRule="auto"/>
        <w:ind w:left="720" w:hanging="720"/>
        <w:contextualSpacing/>
      </w:pPr>
      <w:r w:rsidRPr="006A1F37">
        <w:t xml:space="preserve">Sinclair, B. (2012). </w:t>
      </w:r>
      <w:r w:rsidRPr="006A1F37">
        <w:rPr>
          <w:i/>
          <w:iCs/>
        </w:rPr>
        <w:t>The social citizen: Peer networks and political behavior</w:t>
      </w:r>
      <w:r w:rsidRPr="006A1F37">
        <w:t>. Chicago, IL: University of Chicago Press.</w:t>
      </w:r>
    </w:p>
    <w:p w14:paraId="407ABB9F" w14:textId="77777777" w:rsidR="003058B0" w:rsidRPr="006A1F37" w:rsidRDefault="003058B0" w:rsidP="003058B0">
      <w:pPr>
        <w:spacing w:after="0" w:line="480" w:lineRule="auto"/>
        <w:ind w:left="720" w:hanging="720"/>
        <w:contextualSpacing/>
        <w:rPr>
          <w:rFonts w:eastAsia="Times New Roman"/>
        </w:rPr>
      </w:pPr>
      <w:r w:rsidRPr="006A1F37">
        <w:rPr>
          <w:rFonts w:eastAsia="Times New Roman"/>
        </w:rPr>
        <w:t xml:space="preserve">Sniderman, P. M., &amp; Stiglitz, E. H. (2012). </w:t>
      </w:r>
      <w:r w:rsidRPr="006A1F37">
        <w:rPr>
          <w:rFonts w:eastAsia="Times New Roman"/>
          <w:i/>
          <w:iCs/>
        </w:rPr>
        <w:t>The reputational premium: A theory of party identification and policy reasoning</w:t>
      </w:r>
      <w:r w:rsidRPr="006A1F37">
        <w:rPr>
          <w:rFonts w:eastAsia="Times New Roman"/>
        </w:rPr>
        <w:t>. Princeton, NJ: Princeton University Press.</w:t>
      </w:r>
    </w:p>
    <w:p w14:paraId="3F7C8E4A" w14:textId="77777777" w:rsidR="003058B0" w:rsidRPr="006A1F37" w:rsidRDefault="003058B0" w:rsidP="003058B0">
      <w:pPr>
        <w:autoSpaceDE w:val="0"/>
        <w:autoSpaceDN w:val="0"/>
        <w:adjustRightInd w:val="0"/>
        <w:spacing w:after="0" w:line="480" w:lineRule="auto"/>
        <w:ind w:left="720" w:hanging="720"/>
        <w:contextualSpacing/>
        <w:rPr>
          <w:rFonts w:eastAsia="Times New Roman"/>
        </w:rPr>
      </w:pPr>
      <w:r w:rsidRPr="006A1F37">
        <w:rPr>
          <w:rFonts w:eastAsia="Times New Roman"/>
        </w:rPr>
        <w:lastRenderedPageBreak/>
        <w:t xml:space="preserve">Snyder, M. (1974). Self-monitoring of expressive behavior. </w:t>
      </w:r>
      <w:r w:rsidRPr="006A1F37">
        <w:rPr>
          <w:rFonts w:eastAsia="Times New Roman"/>
          <w:i/>
        </w:rPr>
        <w:t>Journal of Personality and Social Psychology</w:t>
      </w:r>
      <w:r w:rsidRPr="006A1F37">
        <w:rPr>
          <w:rFonts w:eastAsia="Times New Roman"/>
        </w:rPr>
        <w:t xml:space="preserve">, </w:t>
      </w:r>
      <w:r w:rsidRPr="006A1F37">
        <w:rPr>
          <w:rFonts w:eastAsia="Times New Roman"/>
          <w:i/>
        </w:rPr>
        <w:t>30</w:t>
      </w:r>
      <w:r w:rsidRPr="006A1F37">
        <w:rPr>
          <w:rFonts w:eastAsia="Times New Roman"/>
        </w:rPr>
        <w:t xml:space="preserve">, 526-537. </w:t>
      </w:r>
      <w:proofErr w:type="spellStart"/>
      <w:r w:rsidRPr="006A1F37">
        <w:rPr>
          <w:rFonts w:eastAsia="Times New Roman"/>
        </w:rPr>
        <w:t>doi</w:t>
      </w:r>
      <w:proofErr w:type="spellEnd"/>
      <w:r w:rsidRPr="006A1F37">
        <w:rPr>
          <w:rFonts w:eastAsia="Times New Roman"/>
        </w:rPr>
        <w:t>: 10.1037/h0037039</w:t>
      </w:r>
    </w:p>
    <w:p w14:paraId="286B8A52" w14:textId="77777777" w:rsidR="003058B0" w:rsidRPr="006A1F37" w:rsidRDefault="003058B0" w:rsidP="003058B0">
      <w:pPr>
        <w:autoSpaceDE w:val="0"/>
        <w:autoSpaceDN w:val="0"/>
        <w:adjustRightInd w:val="0"/>
        <w:spacing w:after="0" w:line="480" w:lineRule="auto"/>
        <w:ind w:left="720" w:hanging="720"/>
        <w:contextualSpacing/>
        <w:rPr>
          <w:rFonts w:eastAsia="Times New Roman"/>
        </w:rPr>
      </w:pPr>
      <w:r w:rsidRPr="006A1F37">
        <w:rPr>
          <w:rFonts w:eastAsia="Times New Roman"/>
        </w:rPr>
        <w:t xml:space="preserve">Stroud, N. J. (2011). </w:t>
      </w:r>
      <w:r w:rsidRPr="006A1F37">
        <w:rPr>
          <w:rFonts w:eastAsia="Times New Roman"/>
          <w:i/>
        </w:rPr>
        <w:t>Niche news: The politics of news choice</w:t>
      </w:r>
      <w:r w:rsidRPr="006A1F37">
        <w:rPr>
          <w:rFonts w:eastAsia="Times New Roman"/>
        </w:rPr>
        <w:t>. Oxford University Press on Demand.</w:t>
      </w:r>
    </w:p>
    <w:p w14:paraId="42F2C3E1" w14:textId="77777777" w:rsidR="003058B0" w:rsidRPr="006A1F37" w:rsidRDefault="003058B0" w:rsidP="003058B0">
      <w:pPr>
        <w:autoSpaceDE w:val="0"/>
        <w:autoSpaceDN w:val="0"/>
        <w:adjustRightInd w:val="0"/>
        <w:spacing w:after="0" w:line="480" w:lineRule="auto"/>
        <w:ind w:left="720" w:hanging="720"/>
        <w:contextualSpacing/>
        <w:rPr>
          <w:rFonts w:eastAsia="Times New Roman"/>
        </w:rPr>
      </w:pPr>
      <w:r w:rsidRPr="006A1F37">
        <w:rPr>
          <w:rFonts w:eastAsia="Times New Roman"/>
        </w:rPr>
        <w:t xml:space="preserve">Visser, P. S., &amp; </w:t>
      </w:r>
      <w:proofErr w:type="spellStart"/>
      <w:r w:rsidRPr="006A1F37">
        <w:rPr>
          <w:rFonts w:eastAsia="Times New Roman"/>
        </w:rPr>
        <w:t>Mirabile</w:t>
      </w:r>
      <w:proofErr w:type="spellEnd"/>
      <w:r w:rsidRPr="006A1F37">
        <w:rPr>
          <w:rFonts w:eastAsia="Times New Roman"/>
        </w:rPr>
        <w:t xml:space="preserve">, R. R. (2004). Attitudes in the social context: The impact of social network composition on individual-level attitude strength. </w:t>
      </w:r>
      <w:r w:rsidRPr="006A1F37">
        <w:rPr>
          <w:rFonts w:eastAsia="Times New Roman"/>
          <w:i/>
        </w:rPr>
        <w:t>Journal of Personality and Social Psychology</w:t>
      </w:r>
      <w:r w:rsidRPr="006A1F37">
        <w:rPr>
          <w:rFonts w:eastAsia="Times New Roman"/>
        </w:rPr>
        <w:t xml:space="preserve">, </w:t>
      </w:r>
      <w:r w:rsidRPr="006A1F37">
        <w:rPr>
          <w:rFonts w:eastAsia="Times New Roman"/>
          <w:i/>
        </w:rPr>
        <w:t>87</w:t>
      </w:r>
      <w:r w:rsidRPr="006A1F37">
        <w:rPr>
          <w:rFonts w:eastAsia="Times New Roman"/>
        </w:rPr>
        <w:t xml:space="preserve">, 779-795. </w:t>
      </w:r>
      <w:proofErr w:type="spellStart"/>
      <w:r w:rsidRPr="006A1F37">
        <w:rPr>
          <w:rFonts w:eastAsia="Times New Roman"/>
        </w:rPr>
        <w:t>doi</w:t>
      </w:r>
      <w:proofErr w:type="spellEnd"/>
      <w:r w:rsidRPr="006A1F37">
        <w:rPr>
          <w:rFonts w:eastAsia="Times New Roman"/>
        </w:rPr>
        <w:t>: 10.1037/0022-3514.87.6.779</w:t>
      </w:r>
    </w:p>
    <w:p w14:paraId="63699F94" w14:textId="661BE667" w:rsidR="00C017B8" w:rsidRDefault="00C017B8">
      <w:pPr>
        <w:spacing w:after="160" w:line="259" w:lineRule="auto"/>
        <w:rPr>
          <w:b/>
        </w:rPr>
      </w:pPr>
      <w:bookmarkStart w:id="4" w:name="_Hlk483181891"/>
      <w:r>
        <w:rPr>
          <w:b/>
        </w:rPr>
        <w:br w:type="page"/>
      </w:r>
    </w:p>
    <w:p w14:paraId="5762DE00" w14:textId="77777777" w:rsidR="00C017B8" w:rsidRDefault="00C017B8" w:rsidP="003058B0">
      <w:pPr>
        <w:rPr>
          <w:b/>
        </w:rPr>
      </w:pPr>
    </w:p>
    <w:p w14:paraId="6F813223" w14:textId="77777777" w:rsidR="00C017B8" w:rsidRDefault="00C017B8" w:rsidP="003058B0">
      <w:pPr>
        <w:rPr>
          <w:b/>
        </w:rPr>
        <w:sectPr w:rsidR="00C017B8" w:rsidSect="0002756D">
          <w:head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titlePg/>
          <w:docGrid w:linePitch="360"/>
        </w:sectPr>
      </w:pPr>
    </w:p>
    <w:p w14:paraId="48EE7C39" w14:textId="583E26F6" w:rsidR="003058B0" w:rsidRPr="006A1F37" w:rsidRDefault="003058B0" w:rsidP="003058B0">
      <w:pPr>
        <w:rPr>
          <w:b/>
        </w:rPr>
      </w:pPr>
      <w:r w:rsidRPr="006A1F37">
        <w:rPr>
          <w:b/>
        </w:rPr>
        <w:lastRenderedPageBreak/>
        <w:t>Table 1: MN Panel Effects of Policy Preferences and Party ID on Change in Candidate Evaluations</w:t>
      </w:r>
    </w:p>
    <w:tbl>
      <w:tblPr>
        <w:tblW w:w="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44" w:type="dxa"/>
          <w:right w:w="144" w:type="dxa"/>
        </w:tblCellMar>
        <w:tblLook w:val="0000" w:firstRow="0" w:lastRow="0" w:firstColumn="0" w:lastColumn="0" w:noHBand="0" w:noVBand="0"/>
      </w:tblPr>
      <w:tblGrid>
        <w:gridCol w:w="2644"/>
        <w:gridCol w:w="2823"/>
      </w:tblGrid>
      <w:tr w:rsidR="003058B0" w:rsidRPr="006A1F37" w14:paraId="48CF1975" w14:textId="77777777" w:rsidTr="0002756D">
        <w:trPr>
          <w:jc w:val="center"/>
        </w:trPr>
        <w:tc>
          <w:tcPr>
            <w:tcW w:w="2644" w:type="dxa"/>
            <w:tcBorders>
              <w:top w:val="nil"/>
              <w:left w:val="nil"/>
              <w:bottom w:val="single" w:sz="4" w:space="0" w:color="auto"/>
              <w:right w:val="nil"/>
            </w:tcBorders>
            <w:shd w:val="clear" w:color="auto" w:fill="FFFFFF" w:themeFill="background1"/>
            <w:vAlign w:val="bottom"/>
          </w:tcPr>
          <w:p w14:paraId="0020696F" w14:textId="77777777" w:rsidR="003058B0" w:rsidRPr="006A1F37" w:rsidRDefault="003058B0" w:rsidP="0002756D">
            <w:pPr>
              <w:widowControl w:val="0"/>
              <w:autoSpaceDE w:val="0"/>
              <w:autoSpaceDN w:val="0"/>
              <w:adjustRightInd w:val="0"/>
              <w:spacing w:before="79" w:after="79"/>
              <w:contextualSpacing/>
              <w:jc w:val="center"/>
              <w:rPr>
                <w:sz w:val="22"/>
              </w:rPr>
            </w:pPr>
          </w:p>
        </w:tc>
        <w:tc>
          <w:tcPr>
            <w:tcW w:w="2823" w:type="dxa"/>
            <w:tcBorders>
              <w:top w:val="nil"/>
              <w:left w:val="nil"/>
              <w:bottom w:val="single" w:sz="4" w:space="0" w:color="auto"/>
              <w:right w:val="nil"/>
            </w:tcBorders>
            <w:shd w:val="clear" w:color="auto" w:fill="FFFFFF" w:themeFill="background1"/>
            <w:vAlign w:val="bottom"/>
          </w:tcPr>
          <w:p w14:paraId="767968D0" w14:textId="77777777" w:rsidR="003058B0" w:rsidRPr="006A1F37" w:rsidRDefault="003058B0" w:rsidP="0002756D">
            <w:pPr>
              <w:widowControl w:val="0"/>
              <w:autoSpaceDE w:val="0"/>
              <w:autoSpaceDN w:val="0"/>
              <w:adjustRightInd w:val="0"/>
              <w:spacing w:before="79" w:after="79"/>
              <w:contextualSpacing/>
              <w:jc w:val="center"/>
              <w:rPr>
                <w:rFonts w:eastAsia="Times New Roman"/>
                <w:sz w:val="22"/>
              </w:rPr>
            </w:pPr>
            <w:r w:rsidRPr="006A1F37">
              <w:rPr>
                <w:rFonts w:eastAsia="Times New Roman"/>
                <w:sz w:val="22"/>
              </w:rPr>
              <w:t xml:space="preserve">Obama FT –Romney FT </w:t>
            </w:r>
          </w:p>
          <w:p w14:paraId="2AB6FB30" w14:textId="77777777" w:rsidR="003058B0" w:rsidRPr="006A1F37" w:rsidRDefault="003058B0" w:rsidP="0002756D">
            <w:pPr>
              <w:spacing w:after="0"/>
              <w:contextualSpacing/>
              <w:jc w:val="center"/>
              <w:rPr>
                <w:rFonts w:eastAsia="Times New Roman"/>
                <w:sz w:val="22"/>
              </w:rPr>
            </w:pPr>
            <w:r w:rsidRPr="006A1F37">
              <w:rPr>
                <w:rFonts w:eastAsia="Times New Roman"/>
                <w:sz w:val="22"/>
              </w:rPr>
              <w:t>(Wave 2)</w:t>
            </w:r>
          </w:p>
        </w:tc>
      </w:tr>
      <w:tr w:rsidR="003058B0" w:rsidRPr="006A1F37" w14:paraId="5FB49E2C" w14:textId="77777777" w:rsidTr="0002756D">
        <w:trPr>
          <w:jc w:val="center"/>
        </w:trPr>
        <w:tc>
          <w:tcPr>
            <w:tcW w:w="2644" w:type="dxa"/>
            <w:tcBorders>
              <w:left w:val="nil"/>
              <w:bottom w:val="nil"/>
              <w:right w:val="nil"/>
            </w:tcBorders>
            <w:shd w:val="clear" w:color="auto" w:fill="FFFFFF" w:themeFill="background1"/>
          </w:tcPr>
          <w:p w14:paraId="4C10801C" w14:textId="77777777" w:rsidR="003058B0" w:rsidRPr="006A1F37" w:rsidRDefault="003058B0" w:rsidP="0002756D">
            <w:pPr>
              <w:widowControl w:val="0"/>
              <w:autoSpaceDE w:val="0"/>
              <w:autoSpaceDN w:val="0"/>
              <w:adjustRightInd w:val="0"/>
              <w:spacing w:after="0"/>
              <w:contextualSpacing/>
              <w:rPr>
                <w:sz w:val="22"/>
              </w:rPr>
            </w:pPr>
            <w:r w:rsidRPr="006A1F37">
              <w:rPr>
                <w:sz w:val="22"/>
              </w:rPr>
              <w:t xml:space="preserve">Policy Preferences </w:t>
            </w:r>
          </w:p>
        </w:tc>
        <w:tc>
          <w:tcPr>
            <w:tcW w:w="2823" w:type="dxa"/>
            <w:tcBorders>
              <w:left w:val="nil"/>
              <w:bottom w:val="nil"/>
              <w:right w:val="nil"/>
            </w:tcBorders>
            <w:shd w:val="clear" w:color="auto" w:fill="FFFFFF" w:themeFill="background1"/>
          </w:tcPr>
          <w:p w14:paraId="300F8D83"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0.02</w:t>
            </w:r>
          </w:p>
        </w:tc>
      </w:tr>
      <w:tr w:rsidR="003058B0" w:rsidRPr="006A1F37" w14:paraId="6CCBA586" w14:textId="77777777" w:rsidTr="0002756D">
        <w:trPr>
          <w:jc w:val="center"/>
        </w:trPr>
        <w:tc>
          <w:tcPr>
            <w:tcW w:w="2644" w:type="dxa"/>
            <w:tcBorders>
              <w:top w:val="nil"/>
              <w:left w:val="nil"/>
              <w:bottom w:val="nil"/>
              <w:right w:val="nil"/>
            </w:tcBorders>
            <w:shd w:val="clear" w:color="auto" w:fill="FFFFFF" w:themeFill="background1"/>
          </w:tcPr>
          <w:p w14:paraId="2F24F80B" w14:textId="77777777" w:rsidR="003058B0" w:rsidRPr="006A1F37" w:rsidRDefault="003058B0" w:rsidP="0002756D">
            <w:pPr>
              <w:widowControl w:val="0"/>
              <w:autoSpaceDE w:val="0"/>
              <w:autoSpaceDN w:val="0"/>
              <w:adjustRightInd w:val="0"/>
              <w:spacing w:after="0"/>
              <w:contextualSpacing/>
              <w:rPr>
                <w:sz w:val="22"/>
              </w:rPr>
            </w:pPr>
            <w:r w:rsidRPr="006A1F37">
              <w:rPr>
                <w:sz w:val="22"/>
              </w:rPr>
              <w:t>(Conservative)</w:t>
            </w:r>
          </w:p>
        </w:tc>
        <w:tc>
          <w:tcPr>
            <w:tcW w:w="2823" w:type="dxa"/>
            <w:tcBorders>
              <w:top w:val="nil"/>
              <w:left w:val="nil"/>
              <w:bottom w:val="nil"/>
              <w:right w:val="nil"/>
            </w:tcBorders>
            <w:shd w:val="clear" w:color="auto" w:fill="FFFFFF" w:themeFill="background1"/>
          </w:tcPr>
          <w:p w14:paraId="384C93B7"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(0.05)</w:t>
            </w:r>
          </w:p>
        </w:tc>
      </w:tr>
      <w:tr w:rsidR="003058B0" w:rsidRPr="006A1F37" w14:paraId="712AD8DA" w14:textId="77777777" w:rsidTr="0002756D">
        <w:trPr>
          <w:jc w:val="center"/>
        </w:trPr>
        <w:tc>
          <w:tcPr>
            <w:tcW w:w="2644" w:type="dxa"/>
            <w:tcBorders>
              <w:top w:val="nil"/>
              <w:left w:val="nil"/>
              <w:bottom w:val="nil"/>
              <w:right w:val="nil"/>
            </w:tcBorders>
            <w:shd w:val="clear" w:color="auto" w:fill="F2F2F2" w:themeFill="background1" w:themeFillShade="F2"/>
          </w:tcPr>
          <w:p w14:paraId="5B9A01E9" w14:textId="77777777" w:rsidR="003058B0" w:rsidRPr="006A1F37" w:rsidRDefault="003058B0" w:rsidP="0002756D">
            <w:pPr>
              <w:widowControl w:val="0"/>
              <w:autoSpaceDE w:val="0"/>
              <w:autoSpaceDN w:val="0"/>
              <w:adjustRightInd w:val="0"/>
              <w:spacing w:after="0"/>
              <w:contextualSpacing/>
              <w:rPr>
                <w:sz w:val="22"/>
              </w:rPr>
            </w:pPr>
            <w:r w:rsidRPr="006A1F37">
              <w:rPr>
                <w:sz w:val="22"/>
              </w:rPr>
              <w:t xml:space="preserve">Party Identification </w:t>
            </w:r>
          </w:p>
        </w:tc>
        <w:tc>
          <w:tcPr>
            <w:tcW w:w="2823" w:type="dxa"/>
            <w:tcBorders>
              <w:top w:val="nil"/>
              <w:left w:val="nil"/>
              <w:bottom w:val="nil"/>
              <w:right w:val="nil"/>
            </w:tcBorders>
            <w:shd w:val="clear" w:color="auto" w:fill="F2F2F2" w:themeFill="background1" w:themeFillShade="F2"/>
          </w:tcPr>
          <w:p w14:paraId="3E4827C7"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-0.22**</w:t>
            </w:r>
          </w:p>
        </w:tc>
      </w:tr>
      <w:tr w:rsidR="003058B0" w:rsidRPr="006A1F37" w14:paraId="38FA13CD" w14:textId="77777777" w:rsidTr="0002756D">
        <w:trPr>
          <w:jc w:val="center"/>
        </w:trPr>
        <w:tc>
          <w:tcPr>
            <w:tcW w:w="2644" w:type="dxa"/>
            <w:tcBorders>
              <w:top w:val="nil"/>
              <w:left w:val="nil"/>
              <w:bottom w:val="nil"/>
              <w:right w:val="nil"/>
            </w:tcBorders>
            <w:shd w:val="clear" w:color="auto" w:fill="F2F2F2" w:themeFill="background1" w:themeFillShade="F2"/>
          </w:tcPr>
          <w:p w14:paraId="13CE220D" w14:textId="77777777" w:rsidR="003058B0" w:rsidRPr="006A1F37" w:rsidRDefault="003058B0" w:rsidP="0002756D">
            <w:pPr>
              <w:widowControl w:val="0"/>
              <w:autoSpaceDE w:val="0"/>
              <w:autoSpaceDN w:val="0"/>
              <w:adjustRightInd w:val="0"/>
              <w:spacing w:after="0"/>
              <w:contextualSpacing/>
              <w:rPr>
                <w:sz w:val="22"/>
              </w:rPr>
            </w:pPr>
            <w:r w:rsidRPr="006A1F37">
              <w:rPr>
                <w:sz w:val="22"/>
              </w:rPr>
              <w:t>(Republican)</w:t>
            </w:r>
          </w:p>
        </w:tc>
        <w:tc>
          <w:tcPr>
            <w:tcW w:w="2823" w:type="dxa"/>
            <w:tcBorders>
              <w:top w:val="nil"/>
              <w:left w:val="nil"/>
              <w:bottom w:val="nil"/>
              <w:right w:val="nil"/>
            </w:tcBorders>
            <w:shd w:val="clear" w:color="auto" w:fill="F2F2F2" w:themeFill="background1" w:themeFillShade="F2"/>
          </w:tcPr>
          <w:p w14:paraId="65FD1421"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(0.04)</w:t>
            </w:r>
          </w:p>
        </w:tc>
      </w:tr>
      <w:tr w:rsidR="003058B0" w:rsidRPr="006A1F37" w14:paraId="79F5C5A2" w14:textId="77777777" w:rsidTr="0002756D">
        <w:trPr>
          <w:jc w:val="center"/>
        </w:trPr>
        <w:tc>
          <w:tcPr>
            <w:tcW w:w="2644" w:type="dxa"/>
            <w:tcBorders>
              <w:top w:val="nil"/>
              <w:left w:val="nil"/>
              <w:bottom w:val="nil"/>
              <w:right w:val="nil"/>
            </w:tcBorders>
            <w:shd w:val="clear" w:color="auto" w:fill="auto"/>
          </w:tcPr>
          <w:p w14:paraId="6CD662D5" w14:textId="77777777" w:rsidR="003058B0" w:rsidRPr="006A1F37" w:rsidRDefault="003058B0" w:rsidP="0002756D">
            <w:pPr>
              <w:widowControl w:val="0"/>
              <w:autoSpaceDE w:val="0"/>
              <w:autoSpaceDN w:val="0"/>
              <w:adjustRightInd w:val="0"/>
              <w:spacing w:after="0"/>
              <w:contextualSpacing/>
              <w:rPr>
                <w:sz w:val="22"/>
              </w:rPr>
            </w:pPr>
            <w:r w:rsidRPr="006A1F37">
              <w:rPr>
                <w:sz w:val="22"/>
              </w:rPr>
              <w:t>Network Disagreement</w:t>
            </w:r>
          </w:p>
        </w:tc>
        <w:tc>
          <w:tcPr>
            <w:tcW w:w="2823" w:type="dxa"/>
            <w:tcBorders>
              <w:top w:val="nil"/>
              <w:left w:val="nil"/>
              <w:bottom w:val="nil"/>
              <w:right w:val="nil"/>
            </w:tcBorders>
            <w:shd w:val="clear" w:color="auto" w:fill="auto"/>
          </w:tcPr>
          <w:p w14:paraId="779A6A87"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0.02</w:t>
            </w:r>
          </w:p>
        </w:tc>
      </w:tr>
      <w:tr w:rsidR="003058B0" w:rsidRPr="006A1F37" w14:paraId="026C864E" w14:textId="77777777" w:rsidTr="0002756D">
        <w:trPr>
          <w:jc w:val="center"/>
        </w:trPr>
        <w:tc>
          <w:tcPr>
            <w:tcW w:w="2644" w:type="dxa"/>
            <w:tcBorders>
              <w:top w:val="nil"/>
              <w:left w:val="nil"/>
              <w:bottom w:val="nil"/>
              <w:right w:val="nil"/>
            </w:tcBorders>
            <w:shd w:val="clear" w:color="auto" w:fill="auto"/>
          </w:tcPr>
          <w:p w14:paraId="64ABDD26"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auto"/>
          </w:tcPr>
          <w:p w14:paraId="304FDA0A"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(0.04)</w:t>
            </w:r>
          </w:p>
        </w:tc>
      </w:tr>
      <w:tr w:rsidR="003058B0" w:rsidRPr="006A1F37" w14:paraId="6C6BF5F9" w14:textId="77777777" w:rsidTr="0002756D">
        <w:trPr>
          <w:jc w:val="center"/>
        </w:trPr>
        <w:tc>
          <w:tcPr>
            <w:tcW w:w="2644" w:type="dxa"/>
            <w:tcBorders>
              <w:top w:val="nil"/>
              <w:left w:val="nil"/>
              <w:bottom w:val="nil"/>
              <w:right w:val="nil"/>
            </w:tcBorders>
            <w:shd w:val="clear" w:color="auto" w:fill="F2F2F2" w:themeFill="background1" w:themeFillShade="F2"/>
          </w:tcPr>
          <w:p w14:paraId="18691B8E" w14:textId="77777777" w:rsidR="003058B0" w:rsidRPr="006A1F37" w:rsidRDefault="003058B0" w:rsidP="0002756D">
            <w:pPr>
              <w:widowControl w:val="0"/>
              <w:autoSpaceDE w:val="0"/>
              <w:autoSpaceDN w:val="0"/>
              <w:adjustRightInd w:val="0"/>
              <w:spacing w:after="0"/>
              <w:contextualSpacing/>
              <w:rPr>
                <w:sz w:val="22"/>
              </w:rPr>
            </w:pPr>
            <w:r w:rsidRPr="006A1F37">
              <w:rPr>
                <w:sz w:val="22"/>
              </w:rPr>
              <w:t xml:space="preserve">Policy Preferences X </w:t>
            </w:r>
          </w:p>
        </w:tc>
        <w:tc>
          <w:tcPr>
            <w:tcW w:w="2823" w:type="dxa"/>
            <w:tcBorders>
              <w:top w:val="nil"/>
              <w:left w:val="nil"/>
              <w:bottom w:val="nil"/>
              <w:right w:val="nil"/>
            </w:tcBorders>
            <w:shd w:val="clear" w:color="auto" w:fill="F2F2F2" w:themeFill="background1" w:themeFillShade="F2"/>
          </w:tcPr>
          <w:p w14:paraId="1352D96D"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-0.31**</w:t>
            </w:r>
          </w:p>
        </w:tc>
      </w:tr>
      <w:tr w:rsidR="003058B0" w:rsidRPr="006A1F37" w14:paraId="438B3A86" w14:textId="77777777" w:rsidTr="0002756D">
        <w:trPr>
          <w:jc w:val="center"/>
        </w:trPr>
        <w:tc>
          <w:tcPr>
            <w:tcW w:w="2644" w:type="dxa"/>
            <w:tcBorders>
              <w:top w:val="nil"/>
              <w:left w:val="nil"/>
              <w:bottom w:val="nil"/>
              <w:right w:val="nil"/>
            </w:tcBorders>
            <w:shd w:val="clear" w:color="auto" w:fill="F2F2F2" w:themeFill="background1" w:themeFillShade="F2"/>
          </w:tcPr>
          <w:p w14:paraId="04C84753" w14:textId="77777777" w:rsidR="003058B0" w:rsidRPr="006A1F37" w:rsidRDefault="003058B0" w:rsidP="0002756D">
            <w:pPr>
              <w:widowControl w:val="0"/>
              <w:autoSpaceDE w:val="0"/>
              <w:autoSpaceDN w:val="0"/>
              <w:adjustRightInd w:val="0"/>
              <w:spacing w:after="0"/>
              <w:contextualSpacing/>
              <w:rPr>
                <w:sz w:val="22"/>
              </w:rPr>
            </w:pPr>
            <w:r w:rsidRPr="006A1F37">
              <w:rPr>
                <w:sz w:val="22"/>
              </w:rPr>
              <w:t>Disagreement</w:t>
            </w:r>
          </w:p>
        </w:tc>
        <w:tc>
          <w:tcPr>
            <w:tcW w:w="2823" w:type="dxa"/>
            <w:tcBorders>
              <w:top w:val="nil"/>
              <w:left w:val="nil"/>
              <w:bottom w:val="nil"/>
              <w:right w:val="nil"/>
            </w:tcBorders>
            <w:shd w:val="clear" w:color="auto" w:fill="F2F2F2" w:themeFill="background1" w:themeFillShade="F2"/>
          </w:tcPr>
          <w:p w14:paraId="1264E3FE"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(0.10)</w:t>
            </w:r>
          </w:p>
        </w:tc>
      </w:tr>
      <w:tr w:rsidR="003058B0" w:rsidRPr="006A1F37" w14:paraId="502670BE" w14:textId="77777777" w:rsidTr="0002756D">
        <w:trPr>
          <w:jc w:val="center"/>
        </w:trPr>
        <w:tc>
          <w:tcPr>
            <w:tcW w:w="2644" w:type="dxa"/>
            <w:tcBorders>
              <w:top w:val="nil"/>
              <w:left w:val="nil"/>
              <w:bottom w:val="nil"/>
              <w:right w:val="nil"/>
            </w:tcBorders>
            <w:shd w:val="clear" w:color="auto" w:fill="FFFFFF" w:themeFill="background1"/>
          </w:tcPr>
          <w:p w14:paraId="4F5109CF" w14:textId="77777777" w:rsidR="003058B0" w:rsidRPr="006A1F37" w:rsidRDefault="003058B0" w:rsidP="0002756D">
            <w:pPr>
              <w:widowControl w:val="0"/>
              <w:autoSpaceDE w:val="0"/>
              <w:autoSpaceDN w:val="0"/>
              <w:adjustRightInd w:val="0"/>
              <w:spacing w:after="0"/>
              <w:contextualSpacing/>
              <w:rPr>
                <w:sz w:val="22"/>
              </w:rPr>
            </w:pPr>
            <w:r w:rsidRPr="006A1F37">
              <w:rPr>
                <w:sz w:val="22"/>
              </w:rPr>
              <w:t xml:space="preserve">Party Identification X </w:t>
            </w:r>
          </w:p>
        </w:tc>
        <w:tc>
          <w:tcPr>
            <w:tcW w:w="2823" w:type="dxa"/>
            <w:tcBorders>
              <w:top w:val="nil"/>
              <w:left w:val="nil"/>
              <w:bottom w:val="nil"/>
              <w:right w:val="nil"/>
            </w:tcBorders>
            <w:shd w:val="clear" w:color="auto" w:fill="FFFFFF" w:themeFill="background1"/>
          </w:tcPr>
          <w:p w14:paraId="72F22FF3"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0.27**</w:t>
            </w:r>
          </w:p>
        </w:tc>
      </w:tr>
      <w:tr w:rsidR="003058B0" w:rsidRPr="006A1F37" w14:paraId="66EFEE6C" w14:textId="77777777" w:rsidTr="0002756D">
        <w:trPr>
          <w:jc w:val="center"/>
        </w:trPr>
        <w:tc>
          <w:tcPr>
            <w:tcW w:w="2644" w:type="dxa"/>
            <w:tcBorders>
              <w:top w:val="nil"/>
              <w:left w:val="nil"/>
              <w:bottom w:val="nil"/>
              <w:right w:val="nil"/>
            </w:tcBorders>
            <w:shd w:val="clear" w:color="auto" w:fill="FFFFFF" w:themeFill="background1"/>
          </w:tcPr>
          <w:p w14:paraId="6DBFFF6A" w14:textId="77777777" w:rsidR="003058B0" w:rsidRPr="006A1F37" w:rsidRDefault="003058B0" w:rsidP="0002756D">
            <w:pPr>
              <w:widowControl w:val="0"/>
              <w:autoSpaceDE w:val="0"/>
              <w:autoSpaceDN w:val="0"/>
              <w:adjustRightInd w:val="0"/>
              <w:spacing w:after="0"/>
              <w:contextualSpacing/>
              <w:rPr>
                <w:sz w:val="22"/>
              </w:rPr>
            </w:pPr>
            <w:r w:rsidRPr="006A1F37">
              <w:rPr>
                <w:sz w:val="22"/>
              </w:rPr>
              <w:t>Disagreement</w:t>
            </w:r>
          </w:p>
        </w:tc>
        <w:tc>
          <w:tcPr>
            <w:tcW w:w="2823" w:type="dxa"/>
            <w:tcBorders>
              <w:top w:val="nil"/>
              <w:left w:val="nil"/>
              <w:bottom w:val="nil"/>
              <w:right w:val="nil"/>
            </w:tcBorders>
            <w:shd w:val="clear" w:color="auto" w:fill="FFFFFF" w:themeFill="background1"/>
          </w:tcPr>
          <w:p w14:paraId="79B66FE7"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(0.07)</w:t>
            </w:r>
          </w:p>
        </w:tc>
      </w:tr>
      <w:tr w:rsidR="003058B0" w:rsidRPr="006A1F37" w14:paraId="75554BCB" w14:textId="77777777" w:rsidTr="0002756D">
        <w:trPr>
          <w:jc w:val="center"/>
        </w:trPr>
        <w:tc>
          <w:tcPr>
            <w:tcW w:w="2644" w:type="dxa"/>
            <w:tcBorders>
              <w:top w:val="nil"/>
              <w:left w:val="nil"/>
              <w:bottom w:val="nil"/>
              <w:right w:val="nil"/>
            </w:tcBorders>
            <w:shd w:val="clear" w:color="auto" w:fill="F2F2F2" w:themeFill="background1" w:themeFillShade="F2"/>
          </w:tcPr>
          <w:p w14:paraId="1D9A88AB" w14:textId="77777777" w:rsidR="003058B0" w:rsidRPr="006A1F37" w:rsidRDefault="003058B0" w:rsidP="0002756D">
            <w:pPr>
              <w:widowControl w:val="0"/>
              <w:autoSpaceDE w:val="0"/>
              <w:autoSpaceDN w:val="0"/>
              <w:adjustRightInd w:val="0"/>
              <w:spacing w:after="0"/>
              <w:contextualSpacing/>
              <w:rPr>
                <w:sz w:val="22"/>
              </w:rPr>
            </w:pPr>
            <w:r w:rsidRPr="006A1F37">
              <w:rPr>
                <w:sz w:val="22"/>
              </w:rPr>
              <w:t>Non-white Indicator</w:t>
            </w:r>
          </w:p>
        </w:tc>
        <w:tc>
          <w:tcPr>
            <w:tcW w:w="2823" w:type="dxa"/>
            <w:tcBorders>
              <w:top w:val="nil"/>
              <w:left w:val="nil"/>
              <w:bottom w:val="nil"/>
              <w:right w:val="nil"/>
            </w:tcBorders>
            <w:shd w:val="clear" w:color="auto" w:fill="F2F2F2" w:themeFill="background1" w:themeFillShade="F2"/>
          </w:tcPr>
          <w:p w14:paraId="4C79BD05"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-0.01</w:t>
            </w:r>
          </w:p>
        </w:tc>
      </w:tr>
      <w:tr w:rsidR="003058B0" w:rsidRPr="006A1F37" w14:paraId="1FC1019F" w14:textId="77777777" w:rsidTr="0002756D">
        <w:trPr>
          <w:jc w:val="center"/>
        </w:trPr>
        <w:tc>
          <w:tcPr>
            <w:tcW w:w="2644" w:type="dxa"/>
            <w:tcBorders>
              <w:top w:val="nil"/>
              <w:left w:val="nil"/>
              <w:bottom w:val="nil"/>
              <w:right w:val="nil"/>
            </w:tcBorders>
            <w:shd w:val="clear" w:color="auto" w:fill="F2F2F2" w:themeFill="background1" w:themeFillShade="F2"/>
          </w:tcPr>
          <w:p w14:paraId="6449A8EC"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F2F2F2" w:themeFill="background1" w:themeFillShade="F2"/>
          </w:tcPr>
          <w:p w14:paraId="78E26170"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(0.01)</w:t>
            </w:r>
          </w:p>
        </w:tc>
      </w:tr>
      <w:tr w:rsidR="003058B0" w:rsidRPr="006A1F37" w14:paraId="6D077146" w14:textId="77777777" w:rsidTr="0002756D">
        <w:trPr>
          <w:jc w:val="center"/>
        </w:trPr>
        <w:tc>
          <w:tcPr>
            <w:tcW w:w="2644" w:type="dxa"/>
            <w:tcBorders>
              <w:top w:val="nil"/>
              <w:left w:val="nil"/>
              <w:bottom w:val="nil"/>
              <w:right w:val="nil"/>
            </w:tcBorders>
            <w:shd w:val="clear" w:color="auto" w:fill="FFFFFF" w:themeFill="background1"/>
          </w:tcPr>
          <w:p w14:paraId="4A67F505" w14:textId="77777777" w:rsidR="003058B0" w:rsidRPr="006A1F37" w:rsidRDefault="003058B0" w:rsidP="0002756D">
            <w:pPr>
              <w:widowControl w:val="0"/>
              <w:autoSpaceDE w:val="0"/>
              <w:autoSpaceDN w:val="0"/>
              <w:adjustRightInd w:val="0"/>
              <w:spacing w:after="0"/>
              <w:contextualSpacing/>
              <w:rPr>
                <w:sz w:val="22"/>
              </w:rPr>
            </w:pPr>
            <w:r w:rsidRPr="006A1F37">
              <w:rPr>
                <w:sz w:val="22"/>
              </w:rPr>
              <w:t>Age</w:t>
            </w:r>
          </w:p>
        </w:tc>
        <w:tc>
          <w:tcPr>
            <w:tcW w:w="2823" w:type="dxa"/>
            <w:tcBorders>
              <w:top w:val="nil"/>
              <w:left w:val="nil"/>
              <w:bottom w:val="nil"/>
              <w:right w:val="nil"/>
            </w:tcBorders>
            <w:shd w:val="clear" w:color="auto" w:fill="FFFFFF" w:themeFill="background1"/>
          </w:tcPr>
          <w:p w14:paraId="112FACDE"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&lt;0.01*</w:t>
            </w:r>
          </w:p>
        </w:tc>
      </w:tr>
      <w:tr w:rsidR="003058B0" w:rsidRPr="006A1F37" w14:paraId="03179886" w14:textId="77777777" w:rsidTr="0002756D">
        <w:trPr>
          <w:jc w:val="center"/>
        </w:trPr>
        <w:tc>
          <w:tcPr>
            <w:tcW w:w="2644" w:type="dxa"/>
            <w:tcBorders>
              <w:top w:val="nil"/>
              <w:left w:val="nil"/>
              <w:bottom w:val="nil"/>
              <w:right w:val="nil"/>
            </w:tcBorders>
            <w:shd w:val="clear" w:color="auto" w:fill="FFFFFF" w:themeFill="background1"/>
          </w:tcPr>
          <w:p w14:paraId="51918636"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FFFFFF" w:themeFill="background1"/>
          </w:tcPr>
          <w:p w14:paraId="56D6A227"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(0.00)</w:t>
            </w:r>
          </w:p>
        </w:tc>
      </w:tr>
      <w:tr w:rsidR="003058B0" w:rsidRPr="006A1F37" w14:paraId="6F72F080" w14:textId="77777777" w:rsidTr="0002756D">
        <w:trPr>
          <w:jc w:val="center"/>
        </w:trPr>
        <w:tc>
          <w:tcPr>
            <w:tcW w:w="2644" w:type="dxa"/>
            <w:tcBorders>
              <w:top w:val="nil"/>
              <w:left w:val="nil"/>
              <w:bottom w:val="nil"/>
              <w:right w:val="nil"/>
            </w:tcBorders>
            <w:shd w:val="clear" w:color="auto" w:fill="F2F2F2" w:themeFill="background1" w:themeFillShade="F2"/>
          </w:tcPr>
          <w:p w14:paraId="3B4304CD" w14:textId="77777777" w:rsidR="003058B0" w:rsidRPr="006A1F37" w:rsidRDefault="003058B0" w:rsidP="0002756D">
            <w:pPr>
              <w:widowControl w:val="0"/>
              <w:autoSpaceDE w:val="0"/>
              <w:autoSpaceDN w:val="0"/>
              <w:adjustRightInd w:val="0"/>
              <w:spacing w:after="0"/>
              <w:contextualSpacing/>
              <w:rPr>
                <w:sz w:val="22"/>
              </w:rPr>
            </w:pPr>
            <w:r w:rsidRPr="006A1F37">
              <w:rPr>
                <w:sz w:val="22"/>
              </w:rPr>
              <w:t>Male Indicator</w:t>
            </w:r>
          </w:p>
        </w:tc>
        <w:tc>
          <w:tcPr>
            <w:tcW w:w="2823" w:type="dxa"/>
            <w:tcBorders>
              <w:top w:val="nil"/>
              <w:left w:val="nil"/>
              <w:bottom w:val="nil"/>
              <w:right w:val="nil"/>
            </w:tcBorders>
            <w:shd w:val="clear" w:color="auto" w:fill="F2F2F2" w:themeFill="background1" w:themeFillShade="F2"/>
          </w:tcPr>
          <w:p w14:paraId="151C0831"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0.01</w:t>
            </w:r>
          </w:p>
        </w:tc>
      </w:tr>
      <w:tr w:rsidR="003058B0" w:rsidRPr="006A1F37" w14:paraId="2EFBBC5B" w14:textId="77777777" w:rsidTr="0002756D">
        <w:trPr>
          <w:jc w:val="center"/>
        </w:trPr>
        <w:tc>
          <w:tcPr>
            <w:tcW w:w="2644" w:type="dxa"/>
            <w:tcBorders>
              <w:top w:val="nil"/>
              <w:left w:val="nil"/>
              <w:bottom w:val="nil"/>
              <w:right w:val="nil"/>
            </w:tcBorders>
            <w:shd w:val="clear" w:color="auto" w:fill="F2F2F2" w:themeFill="background1" w:themeFillShade="F2"/>
          </w:tcPr>
          <w:p w14:paraId="27816140"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F2F2F2" w:themeFill="background1" w:themeFillShade="F2"/>
          </w:tcPr>
          <w:p w14:paraId="297CACBE"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(0.01)</w:t>
            </w:r>
          </w:p>
        </w:tc>
      </w:tr>
      <w:tr w:rsidR="003058B0" w:rsidRPr="006A1F37" w14:paraId="283A8BD6" w14:textId="77777777" w:rsidTr="0002756D">
        <w:trPr>
          <w:jc w:val="center"/>
        </w:trPr>
        <w:tc>
          <w:tcPr>
            <w:tcW w:w="2644" w:type="dxa"/>
            <w:tcBorders>
              <w:top w:val="nil"/>
              <w:left w:val="nil"/>
              <w:bottom w:val="nil"/>
              <w:right w:val="nil"/>
            </w:tcBorders>
            <w:shd w:val="clear" w:color="auto" w:fill="FFFFFF" w:themeFill="background1"/>
          </w:tcPr>
          <w:p w14:paraId="0A75C5E7" w14:textId="77777777" w:rsidR="003058B0" w:rsidRPr="006A1F37" w:rsidRDefault="003058B0" w:rsidP="0002756D">
            <w:pPr>
              <w:widowControl w:val="0"/>
              <w:autoSpaceDE w:val="0"/>
              <w:autoSpaceDN w:val="0"/>
              <w:adjustRightInd w:val="0"/>
              <w:spacing w:after="0"/>
              <w:contextualSpacing/>
              <w:rPr>
                <w:sz w:val="22"/>
              </w:rPr>
            </w:pPr>
            <w:r w:rsidRPr="006A1F37">
              <w:rPr>
                <w:sz w:val="22"/>
              </w:rPr>
              <w:t>Education</w:t>
            </w:r>
          </w:p>
        </w:tc>
        <w:tc>
          <w:tcPr>
            <w:tcW w:w="2823" w:type="dxa"/>
            <w:tcBorders>
              <w:top w:val="nil"/>
              <w:left w:val="nil"/>
              <w:bottom w:val="nil"/>
              <w:right w:val="nil"/>
            </w:tcBorders>
            <w:shd w:val="clear" w:color="auto" w:fill="FFFFFF" w:themeFill="background1"/>
          </w:tcPr>
          <w:p w14:paraId="6335F666"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-0.02</w:t>
            </w:r>
          </w:p>
        </w:tc>
      </w:tr>
      <w:tr w:rsidR="003058B0" w:rsidRPr="006A1F37" w14:paraId="2E4965AE" w14:textId="77777777" w:rsidTr="0002756D">
        <w:trPr>
          <w:jc w:val="center"/>
        </w:trPr>
        <w:tc>
          <w:tcPr>
            <w:tcW w:w="2644" w:type="dxa"/>
            <w:tcBorders>
              <w:top w:val="nil"/>
              <w:left w:val="nil"/>
              <w:bottom w:val="nil"/>
              <w:right w:val="nil"/>
            </w:tcBorders>
            <w:shd w:val="clear" w:color="auto" w:fill="FFFFFF" w:themeFill="background1"/>
          </w:tcPr>
          <w:p w14:paraId="69134FFB"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FFFFFF" w:themeFill="background1"/>
          </w:tcPr>
          <w:p w14:paraId="24F035B7"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(0.02)</w:t>
            </w:r>
          </w:p>
        </w:tc>
      </w:tr>
      <w:tr w:rsidR="003058B0" w:rsidRPr="006A1F37" w14:paraId="47124529" w14:textId="77777777" w:rsidTr="0002756D">
        <w:trPr>
          <w:jc w:val="center"/>
        </w:trPr>
        <w:tc>
          <w:tcPr>
            <w:tcW w:w="2644" w:type="dxa"/>
            <w:tcBorders>
              <w:top w:val="nil"/>
              <w:left w:val="nil"/>
              <w:bottom w:val="nil"/>
              <w:right w:val="nil"/>
            </w:tcBorders>
            <w:shd w:val="clear" w:color="auto" w:fill="F2F2F2" w:themeFill="background1" w:themeFillShade="F2"/>
          </w:tcPr>
          <w:p w14:paraId="50CE8087" w14:textId="77777777" w:rsidR="003058B0" w:rsidRPr="006A1F37" w:rsidRDefault="003058B0" w:rsidP="0002756D">
            <w:pPr>
              <w:widowControl w:val="0"/>
              <w:autoSpaceDE w:val="0"/>
              <w:autoSpaceDN w:val="0"/>
              <w:adjustRightInd w:val="0"/>
              <w:spacing w:after="0"/>
              <w:contextualSpacing/>
              <w:rPr>
                <w:sz w:val="22"/>
              </w:rPr>
            </w:pPr>
            <w:r w:rsidRPr="006A1F37">
              <w:rPr>
                <w:sz w:val="22"/>
              </w:rPr>
              <w:t>Income</w:t>
            </w:r>
          </w:p>
        </w:tc>
        <w:tc>
          <w:tcPr>
            <w:tcW w:w="2823" w:type="dxa"/>
            <w:tcBorders>
              <w:top w:val="nil"/>
              <w:left w:val="nil"/>
              <w:bottom w:val="nil"/>
              <w:right w:val="nil"/>
            </w:tcBorders>
            <w:shd w:val="clear" w:color="auto" w:fill="F2F2F2" w:themeFill="background1" w:themeFillShade="F2"/>
          </w:tcPr>
          <w:p w14:paraId="1D259D5A"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0.03</w:t>
            </w:r>
          </w:p>
        </w:tc>
      </w:tr>
      <w:tr w:rsidR="003058B0" w:rsidRPr="006A1F37" w14:paraId="3528D9E7" w14:textId="77777777" w:rsidTr="0002756D">
        <w:trPr>
          <w:jc w:val="center"/>
        </w:trPr>
        <w:tc>
          <w:tcPr>
            <w:tcW w:w="2644" w:type="dxa"/>
            <w:tcBorders>
              <w:top w:val="nil"/>
              <w:left w:val="nil"/>
              <w:bottom w:val="nil"/>
              <w:right w:val="nil"/>
            </w:tcBorders>
            <w:shd w:val="clear" w:color="auto" w:fill="F2F2F2" w:themeFill="background1" w:themeFillShade="F2"/>
          </w:tcPr>
          <w:p w14:paraId="22F409F7"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F2F2F2" w:themeFill="background1" w:themeFillShade="F2"/>
          </w:tcPr>
          <w:p w14:paraId="072F1AEE"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(0.02)</w:t>
            </w:r>
          </w:p>
        </w:tc>
      </w:tr>
      <w:tr w:rsidR="003058B0" w:rsidRPr="006A1F37" w14:paraId="1BE27668" w14:textId="77777777" w:rsidTr="0002756D">
        <w:trPr>
          <w:jc w:val="center"/>
        </w:trPr>
        <w:tc>
          <w:tcPr>
            <w:tcW w:w="2644" w:type="dxa"/>
            <w:tcBorders>
              <w:top w:val="nil"/>
              <w:left w:val="nil"/>
              <w:bottom w:val="nil"/>
              <w:right w:val="nil"/>
            </w:tcBorders>
            <w:shd w:val="clear" w:color="auto" w:fill="FFFFFF" w:themeFill="background1"/>
          </w:tcPr>
          <w:p w14:paraId="7B3C4AA8" w14:textId="77777777" w:rsidR="003058B0" w:rsidRPr="006A1F37" w:rsidRDefault="003058B0" w:rsidP="0002756D">
            <w:pPr>
              <w:widowControl w:val="0"/>
              <w:autoSpaceDE w:val="0"/>
              <w:autoSpaceDN w:val="0"/>
              <w:adjustRightInd w:val="0"/>
              <w:spacing w:after="0"/>
              <w:contextualSpacing/>
              <w:rPr>
                <w:sz w:val="22"/>
              </w:rPr>
            </w:pPr>
            <w:r w:rsidRPr="006A1F37">
              <w:rPr>
                <w:sz w:val="22"/>
              </w:rPr>
              <w:t>Lagged DV (Wave 1)</w:t>
            </w:r>
          </w:p>
        </w:tc>
        <w:tc>
          <w:tcPr>
            <w:tcW w:w="2823" w:type="dxa"/>
            <w:tcBorders>
              <w:top w:val="nil"/>
              <w:left w:val="nil"/>
              <w:bottom w:val="nil"/>
              <w:right w:val="nil"/>
            </w:tcBorders>
            <w:shd w:val="clear" w:color="auto" w:fill="FFFFFF" w:themeFill="background1"/>
          </w:tcPr>
          <w:p w14:paraId="530903C5"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0.80**</w:t>
            </w:r>
          </w:p>
        </w:tc>
      </w:tr>
      <w:tr w:rsidR="003058B0" w:rsidRPr="006A1F37" w14:paraId="45D2CBA2" w14:textId="77777777" w:rsidTr="0002756D">
        <w:trPr>
          <w:jc w:val="center"/>
        </w:trPr>
        <w:tc>
          <w:tcPr>
            <w:tcW w:w="2644" w:type="dxa"/>
            <w:tcBorders>
              <w:top w:val="nil"/>
              <w:left w:val="nil"/>
              <w:bottom w:val="nil"/>
              <w:right w:val="nil"/>
            </w:tcBorders>
            <w:shd w:val="clear" w:color="auto" w:fill="FFFFFF" w:themeFill="background1"/>
          </w:tcPr>
          <w:p w14:paraId="59E54574"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FFFFFF" w:themeFill="background1"/>
          </w:tcPr>
          <w:p w14:paraId="4BA64C88"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(0.02)</w:t>
            </w:r>
          </w:p>
        </w:tc>
      </w:tr>
      <w:tr w:rsidR="003058B0" w:rsidRPr="006A1F37" w14:paraId="492D1867" w14:textId="77777777" w:rsidTr="0002756D">
        <w:trPr>
          <w:jc w:val="center"/>
        </w:trPr>
        <w:tc>
          <w:tcPr>
            <w:tcW w:w="2644" w:type="dxa"/>
            <w:tcBorders>
              <w:top w:val="nil"/>
              <w:left w:val="nil"/>
              <w:bottom w:val="nil"/>
              <w:right w:val="nil"/>
            </w:tcBorders>
            <w:shd w:val="clear" w:color="auto" w:fill="F2F2F2" w:themeFill="background1" w:themeFillShade="F2"/>
          </w:tcPr>
          <w:p w14:paraId="42DAD19B" w14:textId="77777777" w:rsidR="003058B0" w:rsidRPr="006A1F37" w:rsidRDefault="003058B0" w:rsidP="0002756D">
            <w:pPr>
              <w:widowControl w:val="0"/>
              <w:autoSpaceDE w:val="0"/>
              <w:autoSpaceDN w:val="0"/>
              <w:adjustRightInd w:val="0"/>
              <w:spacing w:after="0"/>
              <w:contextualSpacing/>
              <w:rPr>
                <w:sz w:val="22"/>
              </w:rPr>
            </w:pPr>
            <w:r w:rsidRPr="006A1F37">
              <w:rPr>
                <w:sz w:val="22"/>
              </w:rPr>
              <w:t>Constant</w:t>
            </w:r>
          </w:p>
        </w:tc>
        <w:tc>
          <w:tcPr>
            <w:tcW w:w="2823" w:type="dxa"/>
            <w:tcBorders>
              <w:top w:val="nil"/>
              <w:left w:val="nil"/>
              <w:bottom w:val="nil"/>
              <w:right w:val="nil"/>
            </w:tcBorders>
            <w:shd w:val="clear" w:color="auto" w:fill="F2F2F2" w:themeFill="background1" w:themeFillShade="F2"/>
          </w:tcPr>
          <w:p w14:paraId="5FA7F349"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0.25**</w:t>
            </w:r>
          </w:p>
        </w:tc>
      </w:tr>
      <w:tr w:rsidR="003058B0" w:rsidRPr="006A1F37" w14:paraId="4E77E575" w14:textId="77777777" w:rsidTr="0002756D">
        <w:trPr>
          <w:jc w:val="center"/>
        </w:trPr>
        <w:tc>
          <w:tcPr>
            <w:tcW w:w="2644" w:type="dxa"/>
            <w:tcBorders>
              <w:top w:val="nil"/>
              <w:left w:val="nil"/>
              <w:bottom w:val="nil"/>
              <w:right w:val="nil"/>
            </w:tcBorders>
            <w:shd w:val="clear" w:color="auto" w:fill="F2F2F2" w:themeFill="background1" w:themeFillShade="F2"/>
          </w:tcPr>
          <w:p w14:paraId="620DFBEF" w14:textId="77777777" w:rsidR="003058B0" w:rsidRPr="006A1F37" w:rsidRDefault="003058B0" w:rsidP="0002756D">
            <w:pPr>
              <w:widowControl w:val="0"/>
              <w:autoSpaceDE w:val="0"/>
              <w:autoSpaceDN w:val="0"/>
              <w:adjustRightInd w:val="0"/>
              <w:spacing w:after="0"/>
              <w:contextualSpacing/>
              <w:rPr>
                <w:sz w:val="22"/>
              </w:rPr>
            </w:pPr>
          </w:p>
        </w:tc>
        <w:tc>
          <w:tcPr>
            <w:tcW w:w="2823" w:type="dxa"/>
            <w:tcBorders>
              <w:top w:val="nil"/>
              <w:left w:val="nil"/>
              <w:bottom w:val="nil"/>
              <w:right w:val="nil"/>
            </w:tcBorders>
            <w:shd w:val="clear" w:color="auto" w:fill="F2F2F2" w:themeFill="background1" w:themeFillShade="F2"/>
          </w:tcPr>
          <w:p w14:paraId="4D86FBD4"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(0.03)</w:t>
            </w:r>
          </w:p>
        </w:tc>
      </w:tr>
      <w:tr w:rsidR="003058B0" w:rsidRPr="006A1F37" w14:paraId="75BF08BF" w14:textId="77777777" w:rsidTr="0002756D">
        <w:trPr>
          <w:jc w:val="center"/>
        </w:trPr>
        <w:tc>
          <w:tcPr>
            <w:tcW w:w="2644" w:type="dxa"/>
            <w:tcBorders>
              <w:top w:val="nil"/>
              <w:left w:val="nil"/>
              <w:bottom w:val="nil"/>
              <w:right w:val="nil"/>
            </w:tcBorders>
            <w:shd w:val="clear" w:color="auto" w:fill="FFFFFF" w:themeFill="background1"/>
          </w:tcPr>
          <w:p w14:paraId="68AA937E" w14:textId="77777777" w:rsidR="003058B0" w:rsidRPr="006A1F37" w:rsidRDefault="003058B0" w:rsidP="0002756D">
            <w:pPr>
              <w:widowControl w:val="0"/>
              <w:autoSpaceDE w:val="0"/>
              <w:autoSpaceDN w:val="0"/>
              <w:adjustRightInd w:val="0"/>
              <w:spacing w:after="0"/>
              <w:contextualSpacing/>
              <w:rPr>
                <w:sz w:val="22"/>
              </w:rPr>
            </w:pPr>
            <w:r w:rsidRPr="006A1F37">
              <w:rPr>
                <w:i/>
                <w:iCs/>
                <w:sz w:val="22"/>
              </w:rPr>
              <w:t>R</w:t>
            </w:r>
            <w:r w:rsidRPr="006A1F37">
              <w:rPr>
                <w:sz w:val="22"/>
                <w:vertAlign w:val="superscript"/>
              </w:rPr>
              <w:t>2</w:t>
            </w:r>
          </w:p>
        </w:tc>
        <w:tc>
          <w:tcPr>
            <w:tcW w:w="2823" w:type="dxa"/>
            <w:tcBorders>
              <w:top w:val="nil"/>
              <w:left w:val="nil"/>
              <w:bottom w:val="nil"/>
              <w:right w:val="nil"/>
            </w:tcBorders>
            <w:shd w:val="clear" w:color="auto" w:fill="FFFFFF" w:themeFill="background1"/>
          </w:tcPr>
          <w:p w14:paraId="72E92861"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0.88</w:t>
            </w:r>
          </w:p>
        </w:tc>
      </w:tr>
      <w:tr w:rsidR="003058B0" w:rsidRPr="006A1F37" w14:paraId="0460CD0D" w14:textId="77777777" w:rsidTr="0002756D">
        <w:trPr>
          <w:jc w:val="center"/>
        </w:trPr>
        <w:tc>
          <w:tcPr>
            <w:tcW w:w="2644" w:type="dxa"/>
            <w:tcBorders>
              <w:top w:val="nil"/>
              <w:left w:val="nil"/>
              <w:right w:val="nil"/>
            </w:tcBorders>
            <w:shd w:val="clear" w:color="auto" w:fill="FFFFFF" w:themeFill="background1"/>
          </w:tcPr>
          <w:p w14:paraId="3CBF7CCD" w14:textId="77777777" w:rsidR="003058B0" w:rsidRPr="006A1F37" w:rsidRDefault="003058B0" w:rsidP="0002756D">
            <w:pPr>
              <w:widowControl w:val="0"/>
              <w:autoSpaceDE w:val="0"/>
              <w:autoSpaceDN w:val="0"/>
              <w:adjustRightInd w:val="0"/>
              <w:spacing w:after="0"/>
              <w:contextualSpacing/>
              <w:rPr>
                <w:sz w:val="22"/>
              </w:rPr>
            </w:pPr>
            <w:r w:rsidRPr="006A1F37">
              <w:rPr>
                <w:i/>
                <w:iCs/>
                <w:sz w:val="22"/>
              </w:rPr>
              <w:t>N</w:t>
            </w:r>
          </w:p>
        </w:tc>
        <w:tc>
          <w:tcPr>
            <w:tcW w:w="2823" w:type="dxa"/>
            <w:tcBorders>
              <w:top w:val="nil"/>
              <w:left w:val="nil"/>
              <w:right w:val="nil"/>
            </w:tcBorders>
            <w:shd w:val="clear" w:color="auto" w:fill="FFFFFF" w:themeFill="background1"/>
          </w:tcPr>
          <w:p w14:paraId="1923903A" w14:textId="77777777" w:rsidR="003058B0" w:rsidRPr="006A1F37" w:rsidRDefault="003058B0" w:rsidP="0002756D">
            <w:pPr>
              <w:widowControl w:val="0"/>
              <w:autoSpaceDE w:val="0"/>
              <w:autoSpaceDN w:val="0"/>
              <w:adjustRightInd w:val="0"/>
              <w:spacing w:after="0"/>
              <w:contextualSpacing/>
              <w:jc w:val="center"/>
              <w:rPr>
                <w:sz w:val="22"/>
              </w:rPr>
            </w:pPr>
            <w:r w:rsidRPr="006A1F37">
              <w:rPr>
                <w:sz w:val="22"/>
              </w:rPr>
              <w:t>927</w:t>
            </w:r>
          </w:p>
        </w:tc>
      </w:tr>
    </w:tbl>
    <w:p w14:paraId="10A7263F" w14:textId="77777777" w:rsidR="003058B0" w:rsidRPr="006A1F37" w:rsidRDefault="003058B0" w:rsidP="003058B0">
      <w:pPr>
        <w:widowControl w:val="0"/>
        <w:autoSpaceDE w:val="0"/>
        <w:autoSpaceDN w:val="0"/>
        <w:adjustRightInd w:val="0"/>
        <w:spacing w:before="79" w:after="79"/>
        <w:contextualSpacing/>
        <w:rPr>
          <w:rFonts w:eastAsia="Times New Roman"/>
          <w:sz w:val="20"/>
          <w:szCs w:val="20"/>
        </w:rPr>
      </w:pPr>
      <w:r w:rsidRPr="006A1F37">
        <w:rPr>
          <w:rFonts w:eastAsia="Times New Roman"/>
          <w:i/>
          <w:sz w:val="20"/>
          <w:szCs w:val="20"/>
        </w:rPr>
        <w:t>Note.</w:t>
      </w:r>
      <w:r w:rsidRPr="006A1F37">
        <w:rPr>
          <w:rFonts w:eastAsia="Times New Roman"/>
          <w:sz w:val="20"/>
          <w:szCs w:val="20"/>
        </w:rPr>
        <w:t xml:space="preserve">  Entries are ordinary least squares regression coefficients, with standard errors in parentheses. </w:t>
      </w:r>
    </w:p>
    <w:p w14:paraId="7772ED0A" w14:textId="77777777" w:rsidR="003058B0" w:rsidRPr="006A1F37" w:rsidRDefault="003058B0" w:rsidP="003058B0">
      <w:pPr>
        <w:widowControl w:val="0"/>
        <w:autoSpaceDE w:val="0"/>
        <w:autoSpaceDN w:val="0"/>
        <w:adjustRightInd w:val="0"/>
        <w:spacing w:before="79" w:after="79"/>
        <w:contextualSpacing/>
        <w:rPr>
          <w:rFonts w:eastAsia="Times New Roman"/>
          <w:sz w:val="20"/>
          <w:szCs w:val="20"/>
        </w:rPr>
      </w:pPr>
      <w:r w:rsidRPr="006A1F37">
        <w:rPr>
          <w:rFonts w:eastAsia="Times New Roman"/>
          <w:sz w:val="20"/>
          <w:szCs w:val="20"/>
        </w:rPr>
        <w:t>The outcome is the difference between respondents’ feeling thermometer ratings of the two candidates, with higher values indicating a more positive evaluation of Obama relative to Romney.</w:t>
      </w:r>
    </w:p>
    <w:p w14:paraId="0EFC94A4" w14:textId="77777777" w:rsidR="003058B0" w:rsidRPr="006A1F37" w:rsidRDefault="003058B0" w:rsidP="003058B0">
      <w:pPr>
        <w:widowControl w:val="0"/>
        <w:autoSpaceDE w:val="0"/>
        <w:autoSpaceDN w:val="0"/>
        <w:adjustRightInd w:val="0"/>
        <w:spacing w:before="79" w:after="79"/>
        <w:contextualSpacing/>
        <w:rPr>
          <w:rFonts w:eastAsia="Times New Roman"/>
          <w:sz w:val="20"/>
          <w:szCs w:val="20"/>
        </w:rPr>
      </w:pPr>
      <w:r w:rsidRPr="006A1F37">
        <w:rPr>
          <w:rFonts w:eastAsia="Times New Roman"/>
          <w:sz w:val="20"/>
          <w:szCs w:val="20"/>
        </w:rPr>
        <w:t>All continuous variables besides age were rescaled to run from 0 to 1, while age is naturally coded in years.</w:t>
      </w:r>
    </w:p>
    <w:p w14:paraId="0ADF22BC" w14:textId="77777777" w:rsidR="003058B0" w:rsidRPr="006A1F37" w:rsidRDefault="003058B0" w:rsidP="003058B0">
      <w:pPr>
        <w:widowControl w:val="0"/>
        <w:autoSpaceDE w:val="0"/>
        <w:autoSpaceDN w:val="0"/>
        <w:adjustRightInd w:val="0"/>
        <w:spacing w:before="79" w:after="79"/>
        <w:contextualSpacing/>
        <w:rPr>
          <w:sz w:val="20"/>
          <w:szCs w:val="20"/>
        </w:rPr>
      </w:pPr>
      <w:r w:rsidRPr="006A1F37">
        <w:rPr>
          <w:sz w:val="20"/>
          <w:szCs w:val="20"/>
        </w:rPr>
        <w:t>*</w:t>
      </w:r>
      <w:r w:rsidRPr="006A1F37">
        <w:rPr>
          <w:i/>
          <w:iCs/>
          <w:sz w:val="20"/>
          <w:szCs w:val="20"/>
        </w:rPr>
        <w:t xml:space="preserve"> p</w:t>
      </w:r>
      <w:r w:rsidRPr="006A1F37">
        <w:rPr>
          <w:sz w:val="20"/>
          <w:szCs w:val="20"/>
        </w:rPr>
        <w:t xml:space="preserve">&lt;0.05; ** </w:t>
      </w:r>
      <w:r w:rsidRPr="006A1F37">
        <w:rPr>
          <w:i/>
          <w:iCs/>
          <w:sz w:val="20"/>
          <w:szCs w:val="20"/>
        </w:rPr>
        <w:t>p</w:t>
      </w:r>
      <w:r w:rsidRPr="006A1F37">
        <w:rPr>
          <w:sz w:val="20"/>
          <w:szCs w:val="20"/>
        </w:rPr>
        <w:t>&lt;0.01</w:t>
      </w:r>
    </w:p>
    <w:p w14:paraId="2D4440E4" w14:textId="246A31AA" w:rsidR="003058B0" w:rsidRPr="006A1F37" w:rsidRDefault="003058B0" w:rsidP="003058B0">
      <w:pPr>
        <w:rPr>
          <w:b/>
          <w:szCs w:val="22"/>
        </w:rPr>
      </w:pPr>
      <w:r w:rsidRPr="006A1F37">
        <w:rPr>
          <w:rFonts w:eastAsia="Times New Roman"/>
        </w:rPr>
        <w:br w:type="page"/>
      </w:r>
      <w:r w:rsidRPr="006A1F37">
        <w:rPr>
          <w:b/>
          <w:szCs w:val="22"/>
        </w:rPr>
        <w:lastRenderedPageBreak/>
        <w:t>Table 2: ANES Effects of Policy Preferences and Party ID on Change in Vote Choice</w:t>
      </w:r>
      <w:r w:rsidR="006A1F37">
        <w:rPr>
          <w:b/>
          <w:szCs w:val="22"/>
        </w:rPr>
        <w:t xml:space="preserve"> and Candidate Evaluations </w:t>
      </w:r>
    </w:p>
    <w:tbl>
      <w:tblPr>
        <w:tblW w:w="7893"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
      <w:tblGrid>
        <w:gridCol w:w="3761"/>
        <w:gridCol w:w="2293"/>
        <w:gridCol w:w="1839"/>
      </w:tblGrid>
      <w:tr w:rsidR="003134DE" w:rsidRPr="006A1F37" w14:paraId="29B60F67" w14:textId="77777777" w:rsidTr="006A1F37">
        <w:trPr>
          <w:trHeight w:val="247"/>
        </w:trPr>
        <w:tc>
          <w:tcPr>
            <w:tcW w:w="3761" w:type="dxa"/>
            <w:tcBorders>
              <w:top w:val="nil"/>
              <w:left w:val="nil"/>
              <w:bottom w:val="single" w:sz="4" w:space="0" w:color="auto"/>
              <w:right w:val="nil"/>
            </w:tcBorders>
            <w:shd w:val="clear" w:color="auto" w:fill="auto"/>
            <w:vAlign w:val="bottom"/>
          </w:tcPr>
          <w:p w14:paraId="2E7A4651"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single" w:sz="4" w:space="0" w:color="auto"/>
              <w:right w:val="nil"/>
            </w:tcBorders>
          </w:tcPr>
          <w:p w14:paraId="48F6CD1B" w14:textId="77777777" w:rsidR="003134DE" w:rsidRPr="006A1F37" w:rsidRDefault="003134DE" w:rsidP="0002756D">
            <w:pPr>
              <w:widowControl w:val="0"/>
              <w:autoSpaceDE w:val="0"/>
              <w:autoSpaceDN w:val="0"/>
              <w:adjustRightInd w:val="0"/>
              <w:spacing w:after="0"/>
              <w:contextualSpacing/>
              <w:jc w:val="center"/>
              <w:rPr>
                <w:rFonts w:eastAsia="Times New Roman"/>
                <w:sz w:val="22"/>
                <w:szCs w:val="22"/>
              </w:rPr>
            </w:pPr>
            <w:r w:rsidRPr="006A1F37">
              <w:rPr>
                <w:rFonts w:eastAsia="Times New Roman"/>
                <w:sz w:val="22"/>
                <w:szCs w:val="22"/>
              </w:rPr>
              <w:t>Candidate Evaluations</w:t>
            </w:r>
          </w:p>
          <w:p w14:paraId="5F501EE4" w14:textId="6601E57B" w:rsidR="003134DE" w:rsidRPr="006A1F37" w:rsidRDefault="003134DE" w:rsidP="0002756D">
            <w:pPr>
              <w:widowControl w:val="0"/>
              <w:autoSpaceDE w:val="0"/>
              <w:autoSpaceDN w:val="0"/>
              <w:adjustRightInd w:val="0"/>
              <w:spacing w:after="0"/>
              <w:contextualSpacing/>
              <w:jc w:val="center"/>
              <w:rPr>
                <w:rFonts w:eastAsia="Times New Roman"/>
                <w:sz w:val="22"/>
                <w:szCs w:val="22"/>
              </w:rPr>
            </w:pPr>
            <w:r w:rsidRPr="006A1F37">
              <w:rPr>
                <w:rFonts w:eastAsia="Times New Roman"/>
                <w:sz w:val="22"/>
                <w:szCs w:val="22"/>
              </w:rPr>
              <w:t>(October 2008)</w:t>
            </w:r>
          </w:p>
        </w:tc>
        <w:tc>
          <w:tcPr>
            <w:tcW w:w="1839" w:type="dxa"/>
            <w:tcBorders>
              <w:top w:val="nil"/>
              <w:left w:val="nil"/>
              <w:bottom w:val="single" w:sz="4" w:space="0" w:color="auto"/>
              <w:right w:val="nil"/>
            </w:tcBorders>
            <w:shd w:val="clear" w:color="auto" w:fill="auto"/>
            <w:vAlign w:val="bottom"/>
          </w:tcPr>
          <w:p w14:paraId="23E862F3" w14:textId="5D82003D" w:rsidR="003134DE" w:rsidRPr="006A1F37" w:rsidRDefault="003134DE" w:rsidP="0002756D">
            <w:pPr>
              <w:widowControl w:val="0"/>
              <w:autoSpaceDE w:val="0"/>
              <w:autoSpaceDN w:val="0"/>
              <w:adjustRightInd w:val="0"/>
              <w:spacing w:after="0"/>
              <w:contextualSpacing/>
              <w:jc w:val="center"/>
              <w:rPr>
                <w:rFonts w:eastAsia="Times New Roman"/>
                <w:sz w:val="22"/>
                <w:szCs w:val="22"/>
              </w:rPr>
            </w:pPr>
            <w:r w:rsidRPr="006A1F37">
              <w:rPr>
                <w:rFonts w:eastAsia="Times New Roman"/>
                <w:sz w:val="22"/>
                <w:szCs w:val="22"/>
              </w:rPr>
              <w:t>Vote Choice</w:t>
            </w:r>
          </w:p>
          <w:p w14:paraId="2528CFBB" w14:textId="77777777" w:rsidR="003134DE" w:rsidRPr="006A1F37" w:rsidRDefault="003134DE" w:rsidP="0002756D">
            <w:pPr>
              <w:widowControl w:val="0"/>
              <w:autoSpaceDE w:val="0"/>
              <w:autoSpaceDN w:val="0"/>
              <w:adjustRightInd w:val="0"/>
              <w:spacing w:after="0"/>
              <w:jc w:val="center"/>
              <w:rPr>
                <w:sz w:val="22"/>
                <w:szCs w:val="22"/>
              </w:rPr>
            </w:pPr>
            <w:r w:rsidRPr="006A1F37">
              <w:rPr>
                <w:rFonts w:eastAsia="Times New Roman"/>
                <w:sz w:val="22"/>
                <w:szCs w:val="22"/>
              </w:rPr>
              <w:t>(November 2008)</w:t>
            </w:r>
          </w:p>
        </w:tc>
      </w:tr>
      <w:tr w:rsidR="003134DE" w:rsidRPr="006A1F37" w14:paraId="122E3059" w14:textId="77777777" w:rsidTr="006A1F37">
        <w:trPr>
          <w:trHeight w:val="247"/>
        </w:trPr>
        <w:tc>
          <w:tcPr>
            <w:tcW w:w="3761" w:type="dxa"/>
            <w:tcBorders>
              <w:top w:val="single" w:sz="4" w:space="0" w:color="auto"/>
              <w:left w:val="nil"/>
              <w:bottom w:val="nil"/>
              <w:right w:val="nil"/>
            </w:tcBorders>
            <w:shd w:val="clear" w:color="auto" w:fill="auto"/>
          </w:tcPr>
          <w:p w14:paraId="4879AD6C" w14:textId="3F27695D"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Policy Preferences (Conservative)</w:t>
            </w:r>
          </w:p>
        </w:tc>
        <w:tc>
          <w:tcPr>
            <w:tcW w:w="2293" w:type="dxa"/>
            <w:tcBorders>
              <w:top w:val="single" w:sz="4" w:space="0" w:color="auto"/>
              <w:left w:val="nil"/>
              <w:bottom w:val="nil"/>
              <w:right w:val="nil"/>
            </w:tcBorders>
          </w:tcPr>
          <w:p w14:paraId="56E890E0" w14:textId="11E7F123" w:rsidR="003134DE" w:rsidRPr="006A1F37" w:rsidRDefault="00292272">
            <w:pPr>
              <w:widowControl w:val="0"/>
              <w:autoSpaceDE w:val="0"/>
              <w:autoSpaceDN w:val="0"/>
              <w:adjustRightInd w:val="0"/>
              <w:spacing w:after="0"/>
              <w:jc w:val="center"/>
              <w:rPr>
                <w:sz w:val="22"/>
                <w:szCs w:val="22"/>
              </w:rPr>
            </w:pPr>
            <w:r w:rsidRPr="006A1F37">
              <w:rPr>
                <w:sz w:val="22"/>
                <w:szCs w:val="22"/>
              </w:rPr>
              <w:t>-</w:t>
            </w:r>
            <w:r w:rsidR="00204839" w:rsidRPr="006A1F37">
              <w:rPr>
                <w:sz w:val="22"/>
                <w:szCs w:val="22"/>
              </w:rPr>
              <w:t>0.</w:t>
            </w:r>
            <w:r w:rsidR="001B5C01">
              <w:rPr>
                <w:sz w:val="22"/>
                <w:szCs w:val="22"/>
              </w:rPr>
              <w:t>11</w:t>
            </w:r>
          </w:p>
        </w:tc>
        <w:tc>
          <w:tcPr>
            <w:tcW w:w="1839" w:type="dxa"/>
            <w:tcBorders>
              <w:top w:val="single" w:sz="4" w:space="0" w:color="auto"/>
              <w:left w:val="nil"/>
              <w:bottom w:val="nil"/>
              <w:right w:val="nil"/>
            </w:tcBorders>
            <w:shd w:val="clear" w:color="auto" w:fill="auto"/>
          </w:tcPr>
          <w:p w14:paraId="7EFEDB40" w14:textId="321E2401" w:rsidR="003134DE" w:rsidRPr="006A1F37" w:rsidRDefault="00292272">
            <w:pPr>
              <w:widowControl w:val="0"/>
              <w:autoSpaceDE w:val="0"/>
              <w:autoSpaceDN w:val="0"/>
              <w:adjustRightInd w:val="0"/>
              <w:spacing w:after="0"/>
              <w:jc w:val="center"/>
              <w:rPr>
                <w:sz w:val="22"/>
                <w:szCs w:val="22"/>
              </w:rPr>
            </w:pPr>
            <w:r w:rsidRPr="006A1F37">
              <w:rPr>
                <w:sz w:val="22"/>
                <w:szCs w:val="22"/>
              </w:rPr>
              <w:t>-</w:t>
            </w:r>
            <w:r w:rsidR="001B5C01">
              <w:rPr>
                <w:sz w:val="22"/>
                <w:szCs w:val="22"/>
              </w:rPr>
              <w:t>3.42</w:t>
            </w:r>
          </w:p>
        </w:tc>
      </w:tr>
      <w:tr w:rsidR="003134DE" w:rsidRPr="006A1F37" w14:paraId="025A6087" w14:textId="77777777" w:rsidTr="006A1F37">
        <w:trPr>
          <w:trHeight w:val="247"/>
        </w:trPr>
        <w:tc>
          <w:tcPr>
            <w:tcW w:w="3761" w:type="dxa"/>
            <w:tcBorders>
              <w:top w:val="nil"/>
              <w:left w:val="nil"/>
              <w:bottom w:val="nil"/>
              <w:right w:val="nil"/>
            </w:tcBorders>
            <w:shd w:val="clear" w:color="auto" w:fill="auto"/>
          </w:tcPr>
          <w:p w14:paraId="110170D2"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tcPr>
          <w:p w14:paraId="3DA5FFB0" w14:textId="002F3D8F" w:rsidR="003134DE" w:rsidRPr="006A1F37" w:rsidRDefault="00204839" w:rsidP="0002756D">
            <w:pPr>
              <w:widowControl w:val="0"/>
              <w:autoSpaceDE w:val="0"/>
              <w:autoSpaceDN w:val="0"/>
              <w:adjustRightInd w:val="0"/>
              <w:spacing w:after="0"/>
              <w:jc w:val="center"/>
              <w:rPr>
                <w:sz w:val="22"/>
                <w:szCs w:val="22"/>
              </w:rPr>
            </w:pPr>
            <w:r w:rsidRPr="006A1F37">
              <w:rPr>
                <w:sz w:val="22"/>
                <w:szCs w:val="22"/>
              </w:rPr>
              <w:t>(0.</w:t>
            </w:r>
            <w:r w:rsidR="001B5C01">
              <w:rPr>
                <w:sz w:val="22"/>
                <w:szCs w:val="22"/>
              </w:rPr>
              <w:t>07</w:t>
            </w:r>
            <w:r w:rsidR="00292272" w:rsidRPr="006A1F37">
              <w:rPr>
                <w:sz w:val="22"/>
                <w:szCs w:val="22"/>
              </w:rPr>
              <w:t>)</w:t>
            </w:r>
          </w:p>
        </w:tc>
        <w:tc>
          <w:tcPr>
            <w:tcW w:w="1839" w:type="dxa"/>
            <w:tcBorders>
              <w:top w:val="nil"/>
              <w:left w:val="nil"/>
              <w:bottom w:val="nil"/>
              <w:right w:val="nil"/>
            </w:tcBorders>
            <w:shd w:val="clear" w:color="auto" w:fill="auto"/>
          </w:tcPr>
          <w:p w14:paraId="7F51DB63" w14:textId="2A248D17"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w:t>
            </w:r>
            <w:r w:rsidR="00F25B3A" w:rsidRPr="006A1F37">
              <w:rPr>
                <w:sz w:val="22"/>
                <w:szCs w:val="22"/>
              </w:rPr>
              <w:t>2.0</w:t>
            </w:r>
            <w:r w:rsidR="001B5C01">
              <w:rPr>
                <w:sz w:val="22"/>
                <w:szCs w:val="22"/>
              </w:rPr>
              <w:t>2</w:t>
            </w:r>
            <w:r w:rsidRPr="006A1F37">
              <w:rPr>
                <w:sz w:val="22"/>
                <w:szCs w:val="22"/>
              </w:rPr>
              <w:t>)</w:t>
            </w:r>
          </w:p>
        </w:tc>
      </w:tr>
      <w:tr w:rsidR="003134DE" w:rsidRPr="006A1F37" w14:paraId="0936E1C4" w14:textId="77777777" w:rsidTr="006A1F37">
        <w:trPr>
          <w:trHeight w:val="247"/>
        </w:trPr>
        <w:tc>
          <w:tcPr>
            <w:tcW w:w="3761" w:type="dxa"/>
            <w:tcBorders>
              <w:top w:val="nil"/>
              <w:left w:val="nil"/>
              <w:bottom w:val="nil"/>
              <w:right w:val="nil"/>
            </w:tcBorders>
            <w:shd w:val="clear" w:color="auto" w:fill="F2F2F2" w:themeFill="background1" w:themeFillShade="F2"/>
          </w:tcPr>
          <w:p w14:paraId="6035BC62"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Party Identification (Republican)</w:t>
            </w:r>
          </w:p>
        </w:tc>
        <w:tc>
          <w:tcPr>
            <w:tcW w:w="2293" w:type="dxa"/>
            <w:tcBorders>
              <w:top w:val="nil"/>
              <w:left w:val="nil"/>
              <w:bottom w:val="nil"/>
              <w:right w:val="nil"/>
            </w:tcBorders>
            <w:shd w:val="clear" w:color="auto" w:fill="F2F2F2" w:themeFill="background1" w:themeFillShade="F2"/>
          </w:tcPr>
          <w:p w14:paraId="7F985A0C" w14:textId="1139CF22" w:rsidR="003134DE" w:rsidRPr="006A1F37" w:rsidRDefault="004A24B6" w:rsidP="0002756D">
            <w:pPr>
              <w:widowControl w:val="0"/>
              <w:autoSpaceDE w:val="0"/>
              <w:autoSpaceDN w:val="0"/>
              <w:adjustRightInd w:val="0"/>
              <w:spacing w:after="0"/>
              <w:jc w:val="center"/>
              <w:rPr>
                <w:sz w:val="22"/>
                <w:szCs w:val="22"/>
              </w:rPr>
            </w:pPr>
            <w:r w:rsidRPr="006A1F37">
              <w:rPr>
                <w:sz w:val="22"/>
                <w:szCs w:val="22"/>
              </w:rPr>
              <w:t>-0.4</w:t>
            </w:r>
            <w:r w:rsidR="005E4750">
              <w:rPr>
                <w:sz w:val="22"/>
                <w:szCs w:val="22"/>
              </w:rPr>
              <w:t>7</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0888F54B" w14:textId="5FF00D75" w:rsidR="003134DE" w:rsidRPr="006A1F37" w:rsidRDefault="003134DE">
            <w:pPr>
              <w:widowControl w:val="0"/>
              <w:autoSpaceDE w:val="0"/>
              <w:autoSpaceDN w:val="0"/>
              <w:adjustRightInd w:val="0"/>
              <w:spacing w:after="0"/>
              <w:jc w:val="center"/>
              <w:rPr>
                <w:sz w:val="22"/>
                <w:szCs w:val="22"/>
              </w:rPr>
            </w:pPr>
            <w:r w:rsidRPr="006A1F37">
              <w:rPr>
                <w:sz w:val="22"/>
                <w:szCs w:val="22"/>
              </w:rPr>
              <w:t>-</w:t>
            </w:r>
            <w:r w:rsidR="00F25B3A" w:rsidRPr="006A1F37">
              <w:rPr>
                <w:sz w:val="22"/>
                <w:szCs w:val="22"/>
              </w:rPr>
              <w:t>4.9</w:t>
            </w:r>
            <w:r w:rsidR="001B5C01">
              <w:rPr>
                <w:sz w:val="22"/>
                <w:szCs w:val="22"/>
              </w:rPr>
              <w:t>1</w:t>
            </w:r>
            <w:r w:rsidRPr="006A1F37">
              <w:rPr>
                <w:sz w:val="22"/>
                <w:szCs w:val="22"/>
              </w:rPr>
              <w:t>**</w:t>
            </w:r>
          </w:p>
        </w:tc>
      </w:tr>
      <w:tr w:rsidR="003134DE" w:rsidRPr="006A1F37" w14:paraId="1A14C107" w14:textId="77777777" w:rsidTr="006A1F37">
        <w:trPr>
          <w:trHeight w:val="268"/>
        </w:trPr>
        <w:tc>
          <w:tcPr>
            <w:tcW w:w="3761" w:type="dxa"/>
            <w:tcBorders>
              <w:top w:val="nil"/>
              <w:left w:val="nil"/>
              <w:bottom w:val="nil"/>
              <w:right w:val="nil"/>
            </w:tcBorders>
            <w:shd w:val="clear" w:color="auto" w:fill="F2F2F2" w:themeFill="background1" w:themeFillShade="F2"/>
          </w:tcPr>
          <w:p w14:paraId="197FD36E"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2F2F2" w:themeFill="background1" w:themeFillShade="F2"/>
          </w:tcPr>
          <w:p w14:paraId="72F793BE" w14:textId="2698729C" w:rsidR="003134DE" w:rsidRPr="006A1F37" w:rsidRDefault="00204839">
            <w:pPr>
              <w:widowControl w:val="0"/>
              <w:autoSpaceDE w:val="0"/>
              <w:autoSpaceDN w:val="0"/>
              <w:adjustRightInd w:val="0"/>
              <w:spacing w:after="0"/>
              <w:jc w:val="center"/>
              <w:rPr>
                <w:sz w:val="22"/>
                <w:szCs w:val="22"/>
              </w:rPr>
            </w:pPr>
            <w:r w:rsidRPr="006A1F37">
              <w:rPr>
                <w:sz w:val="22"/>
                <w:szCs w:val="22"/>
              </w:rPr>
              <w:t>(0.05</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57DED16A" w14:textId="3B15083F"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(1.</w:t>
            </w:r>
            <w:r w:rsidR="001B5C01">
              <w:rPr>
                <w:sz w:val="22"/>
                <w:szCs w:val="22"/>
              </w:rPr>
              <w:t>10</w:t>
            </w:r>
            <w:r w:rsidRPr="006A1F37">
              <w:rPr>
                <w:sz w:val="22"/>
                <w:szCs w:val="22"/>
              </w:rPr>
              <w:t>)</w:t>
            </w:r>
          </w:p>
        </w:tc>
      </w:tr>
      <w:tr w:rsidR="003134DE" w:rsidRPr="006A1F37" w14:paraId="4F701269" w14:textId="77777777" w:rsidTr="006A1F37">
        <w:trPr>
          <w:trHeight w:val="247"/>
        </w:trPr>
        <w:tc>
          <w:tcPr>
            <w:tcW w:w="3761" w:type="dxa"/>
            <w:tcBorders>
              <w:top w:val="nil"/>
              <w:left w:val="nil"/>
              <w:bottom w:val="nil"/>
              <w:right w:val="nil"/>
            </w:tcBorders>
            <w:shd w:val="clear" w:color="auto" w:fill="FFFFFF" w:themeFill="background1"/>
          </w:tcPr>
          <w:p w14:paraId="293DE423"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Network Disagreement</w:t>
            </w:r>
          </w:p>
        </w:tc>
        <w:tc>
          <w:tcPr>
            <w:tcW w:w="2293" w:type="dxa"/>
            <w:tcBorders>
              <w:top w:val="nil"/>
              <w:left w:val="nil"/>
              <w:bottom w:val="nil"/>
              <w:right w:val="nil"/>
            </w:tcBorders>
            <w:shd w:val="clear" w:color="auto" w:fill="FFFFFF" w:themeFill="background1"/>
          </w:tcPr>
          <w:p w14:paraId="59E08492" w14:textId="4B42EE32" w:rsidR="003134DE" w:rsidRPr="006A1F37" w:rsidRDefault="004A24B6" w:rsidP="0002756D">
            <w:pPr>
              <w:widowControl w:val="0"/>
              <w:autoSpaceDE w:val="0"/>
              <w:autoSpaceDN w:val="0"/>
              <w:adjustRightInd w:val="0"/>
              <w:spacing w:after="0"/>
              <w:jc w:val="center"/>
              <w:rPr>
                <w:sz w:val="22"/>
                <w:szCs w:val="22"/>
              </w:rPr>
            </w:pPr>
            <w:r w:rsidRPr="006A1F37">
              <w:rPr>
                <w:sz w:val="22"/>
                <w:szCs w:val="22"/>
              </w:rPr>
              <w:t>-0.</w:t>
            </w:r>
            <w:r w:rsidR="001B5C01">
              <w:rPr>
                <w:sz w:val="22"/>
                <w:szCs w:val="22"/>
              </w:rPr>
              <w:t>11</w:t>
            </w:r>
          </w:p>
        </w:tc>
        <w:tc>
          <w:tcPr>
            <w:tcW w:w="1839" w:type="dxa"/>
            <w:tcBorders>
              <w:top w:val="nil"/>
              <w:left w:val="nil"/>
              <w:bottom w:val="nil"/>
              <w:right w:val="nil"/>
            </w:tcBorders>
            <w:shd w:val="clear" w:color="auto" w:fill="FFFFFF" w:themeFill="background1"/>
          </w:tcPr>
          <w:p w14:paraId="4665EE34" w14:textId="5C1339FC" w:rsidR="003134DE" w:rsidRPr="006A1F37" w:rsidRDefault="003134DE">
            <w:pPr>
              <w:widowControl w:val="0"/>
              <w:autoSpaceDE w:val="0"/>
              <w:autoSpaceDN w:val="0"/>
              <w:adjustRightInd w:val="0"/>
              <w:spacing w:after="0"/>
              <w:jc w:val="center"/>
              <w:rPr>
                <w:sz w:val="22"/>
                <w:szCs w:val="22"/>
              </w:rPr>
            </w:pPr>
            <w:r w:rsidRPr="006A1F37">
              <w:rPr>
                <w:sz w:val="22"/>
                <w:szCs w:val="22"/>
              </w:rPr>
              <w:t>-</w:t>
            </w:r>
            <w:r w:rsidR="001B5C01">
              <w:rPr>
                <w:sz w:val="22"/>
                <w:szCs w:val="22"/>
              </w:rPr>
              <w:t>3.7</w:t>
            </w:r>
            <w:r w:rsidR="006C25C1">
              <w:rPr>
                <w:sz w:val="22"/>
                <w:szCs w:val="22"/>
              </w:rPr>
              <w:t>5</w:t>
            </w:r>
          </w:p>
        </w:tc>
      </w:tr>
      <w:tr w:rsidR="003134DE" w:rsidRPr="006A1F37" w14:paraId="564A12BF" w14:textId="77777777" w:rsidTr="006A1F37">
        <w:trPr>
          <w:trHeight w:val="268"/>
        </w:trPr>
        <w:tc>
          <w:tcPr>
            <w:tcW w:w="3761" w:type="dxa"/>
            <w:tcBorders>
              <w:top w:val="nil"/>
              <w:left w:val="nil"/>
              <w:bottom w:val="nil"/>
              <w:right w:val="nil"/>
            </w:tcBorders>
            <w:shd w:val="clear" w:color="auto" w:fill="FFFFFF" w:themeFill="background1"/>
          </w:tcPr>
          <w:p w14:paraId="197F37F7"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FFFFF" w:themeFill="background1"/>
          </w:tcPr>
          <w:p w14:paraId="7170ADE0" w14:textId="16BD4622" w:rsidR="003134DE" w:rsidRPr="006A1F37" w:rsidRDefault="004A24B6" w:rsidP="0002756D">
            <w:pPr>
              <w:widowControl w:val="0"/>
              <w:autoSpaceDE w:val="0"/>
              <w:autoSpaceDN w:val="0"/>
              <w:adjustRightInd w:val="0"/>
              <w:spacing w:after="0"/>
              <w:jc w:val="center"/>
              <w:rPr>
                <w:sz w:val="22"/>
                <w:szCs w:val="22"/>
              </w:rPr>
            </w:pPr>
            <w:r w:rsidRPr="006A1F37">
              <w:rPr>
                <w:sz w:val="22"/>
                <w:szCs w:val="22"/>
              </w:rPr>
              <w:t>(0.1</w:t>
            </w:r>
            <w:r w:rsidR="001B5C01">
              <w:rPr>
                <w:sz w:val="22"/>
                <w:szCs w:val="22"/>
              </w:rPr>
              <w:t>1</w:t>
            </w:r>
            <w:r w:rsidR="00292272" w:rsidRPr="006A1F37">
              <w:rPr>
                <w:sz w:val="22"/>
                <w:szCs w:val="22"/>
              </w:rPr>
              <w:t>)</w:t>
            </w:r>
          </w:p>
        </w:tc>
        <w:tc>
          <w:tcPr>
            <w:tcW w:w="1839" w:type="dxa"/>
            <w:tcBorders>
              <w:top w:val="nil"/>
              <w:left w:val="nil"/>
              <w:bottom w:val="nil"/>
              <w:right w:val="nil"/>
            </w:tcBorders>
            <w:shd w:val="clear" w:color="auto" w:fill="FFFFFF" w:themeFill="background1"/>
          </w:tcPr>
          <w:p w14:paraId="4092AED6" w14:textId="08DCEFED"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w:t>
            </w:r>
            <w:r w:rsidR="00F25B3A" w:rsidRPr="006A1F37">
              <w:rPr>
                <w:sz w:val="22"/>
                <w:szCs w:val="22"/>
              </w:rPr>
              <w:t>2.</w:t>
            </w:r>
            <w:r w:rsidR="001B5C01">
              <w:rPr>
                <w:sz w:val="22"/>
                <w:szCs w:val="22"/>
              </w:rPr>
              <w:t>01</w:t>
            </w:r>
            <w:r w:rsidRPr="006A1F37">
              <w:rPr>
                <w:sz w:val="22"/>
                <w:szCs w:val="22"/>
              </w:rPr>
              <w:t>)</w:t>
            </w:r>
          </w:p>
        </w:tc>
      </w:tr>
      <w:tr w:rsidR="003134DE" w:rsidRPr="006A1F37" w14:paraId="0CA54371" w14:textId="77777777" w:rsidTr="006A1F37">
        <w:trPr>
          <w:trHeight w:val="247"/>
        </w:trPr>
        <w:tc>
          <w:tcPr>
            <w:tcW w:w="3761" w:type="dxa"/>
            <w:tcBorders>
              <w:top w:val="nil"/>
              <w:left w:val="nil"/>
              <w:bottom w:val="nil"/>
              <w:right w:val="nil"/>
            </w:tcBorders>
            <w:shd w:val="clear" w:color="auto" w:fill="F2F2F2" w:themeFill="background1" w:themeFillShade="F2"/>
          </w:tcPr>
          <w:p w14:paraId="72BDFC68"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Policy Preferences X Disagreement</w:t>
            </w:r>
          </w:p>
        </w:tc>
        <w:tc>
          <w:tcPr>
            <w:tcW w:w="2293" w:type="dxa"/>
            <w:tcBorders>
              <w:top w:val="nil"/>
              <w:left w:val="nil"/>
              <w:bottom w:val="nil"/>
              <w:right w:val="nil"/>
            </w:tcBorders>
            <w:shd w:val="clear" w:color="auto" w:fill="F2F2F2" w:themeFill="background1" w:themeFillShade="F2"/>
          </w:tcPr>
          <w:p w14:paraId="37E16BA8" w14:textId="7D3EE46C" w:rsidR="003134DE" w:rsidRPr="006A1F37" w:rsidRDefault="004A24B6" w:rsidP="0002756D">
            <w:pPr>
              <w:widowControl w:val="0"/>
              <w:autoSpaceDE w:val="0"/>
              <w:autoSpaceDN w:val="0"/>
              <w:adjustRightInd w:val="0"/>
              <w:spacing w:after="0"/>
              <w:jc w:val="center"/>
              <w:rPr>
                <w:sz w:val="22"/>
                <w:szCs w:val="22"/>
              </w:rPr>
            </w:pPr>
            <w:r w:rsidRPr="006A1F37">
              <w:rPr>
                <w:sz w:val="22"/>
                <w:szCs w:val="22"/>
              </w:rPr>
              <w:t>-0.4</w:t>
            </w:r>
            <w:r w:rsidR="001B5C01">
              <w:rPr>
                <w:sz w:val="22"/>
                <w:szCs w:val="22"/>
              </w:rPr>
              <w:t>4*</w:t>
            </w:r>
          </w:p>
        </w:tc>
        <w:tc>
          <w:tcPr>
            <w:tcW w:w="1839" w:type="dxa"/>
            <w:tcBorders>
              <w:top w:val="nil"/>
              <w:left w:val="nil"/>
              <w:bottom w:val="nil"/>
              <w:right w:val="nil"/>
            </w:tcBorders>
            <w:shd w:val="clear" w:color="auto" w:fill="F2F2F2" w:themeFill="background1" w:themeFillShade="F2"/>
          </w:tcPr>
          <w:p w14:paraId="7D890582" w14:textId="68A46D82" w:rsidR="003134DE" w:rsidRPr="006A1F37" w:rsidRDefault="006C25C1">
            <w:pPr>
              <w:widowControl w:val="0"/>
              <w:autoSpaceDE w:val="0"/>
              <w:autoSpaceDN w:val="0"/>
              <w:adjustRightInd w:val="0"/>
              <w:spacing w:after="0"/>
              <w:jc w:val="center"/>
              <w:rPr>
                <w:sz w:val="22"/>
                <w:szCs w:val="22"/>
              </w:rPr>
            </w:pPr>
            <w:r>
              <w:rPr>
                <w:sz w:val="22"/>
                <w:szCs w:val="22"/>
              </w:rPr>
              <w:t>1.29</w:t>
            </w:r>
          </w:p>
        </w:tc>
      </w:tr>
      <w:tr w:rsidR="003134DE" w:rsidRPr="006A1F37" w14:paraId="42487B4F" w14:textId="77777777" w:rsidTr="006A1F37">
        <w:trPr>
          <w:trHeight w:val="247"/>
        </w:trPr>
        <w:tc>
          <w:tcPr>
            <w:tcW w:w="3761" w:type="dxa"/>
            <w:tcBorders>
              <w:top w:val="nil"/>
              <w:left w:val="nil"/>
              <w:bottom w:val="nil"/>
              <w:right w:val="nil"/>
            </w:tcBorders>
            <w:shd w:val="clear" w:color="auto" w:fill="F2F2F2" w:themeFill="background1" w:themeFillShade="F2"/>
          </w:tcPr>
          <w:p w14:paraId="3B18F93A"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2F2F2" w:themeFill="background1" w:themeFillShade="F2"/>
          </w:tcPr>
          <w:p w14:paraId="3AD93079" w14:textId="022B0BA0" w:rsidR="003134DE" w:rsidRPr="006A1F37" w:rsidRDefault="004A24B6" w:rsidP="0002756D">
            <w:pPr>
              <w:widowControl w:val="0"/>
              <w:autoSpaceDE w:val="0"/>
              <w:autoSpaceDN w:val="0"/>
              <w:adjustRightInd w:val="0"/>
              <w:spacing w:after="0"/>
              <w:jc w:val="center"/>
              <w:rPr>
                <w:sz w:val="22"/>
                <w:szCs w:val="22"/>
              </w:rPr>
            </w:pPr>
            <w:r w:rsidRPr="006A1F37">
              <w:rPr>
                <w:sz w:val="22"/>
                <w:szCs w:val="22"/>
              </w:rPr>
              <w:t>(0.2</w:t>
            </w:r>
            <w:r w:rsidR="001B5C01">
              <w:rPr>
                <w:sz w:val="22"/>
                <w:szCs w:val="22"/>
              </w:rPr>
              <w:t>1</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481E023B" w14:textId="070A02D3"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w:t>
            </w:r>
            <w:r w:rsidR="00F25B3A" w:rsidRPr="006A1F37">
              <w:rPr>
                <w:sz w:val="22"/>
                <w:szCs w:val="22"/>
              </w:rPr>
              <w:t>4.</w:t>
            </w:r>
            <w:r w:rsidR="006C25C1">
              <w:rPr>
                <w:sz w:val="22"/>
                <w:szCs w:val="22"/>
              </w:rPr>
              <w:t>22</w:t>
            </w:r>
            <w:r w:rsidRPr="006A1F37">
              <w:rPr>
                <w:sz w:val="22"/>
                <w:szCs w:val="22"/>
              </w:rPr>
              <w:t>)</w:t>
            </w:r>
          </w:p>
        </w:tc>
      </w:tr>
      <w:tr w:rsidR="003134DE" w:rsidRPr="006A1F37" w14:paraId="29E30F70" w14:textId="77777777" w:rsidTr="006A1F37">
        <w:trPr>
          <w:trHeight w:val="247"/>
        </w:trPr>
        <w:tc>
          <w:tcPr>
            <w:tcW w:w="3761" w:type="dxa"/>
            <w:tcBorders>
              <w:top w:val="nil"/>
              <w:left w:val="nil"/>
              <w:bottom w:val="nil"/>
              <w:right w:val="nil"/>
            </w:tcBorders>
            <w:shd w:val="clear" w:color="auto" w:fill="FFFFFF" w:themeFill="background1"/>
          </w:tcPr>
          <w:p w14:paraId="71AF526C"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Party Identification X Disagreement</w:t>
            </w:r>
          </w:p>
        </w:tc>
        <w:tc>
          <w:tcPr>
            <w:tcW w:w="2293" w:type="dxa"/>
            <w:tcBorders>
              <w:top w:val="nil"/>
              <w:left w:val="nil"/>
              <w:bottom w:val="nil"/>
              <w:right w:val="nil"/>
            </w:tcBorders>
            <w:shd w:val="clear" w:color="auto" w:fill="FFFFFF" w:themeFill="background1"/>
          </w:tcPr>
          <w:p w14:paraId="6AFBAA69" w14:textId="43097462" w:rsidR="003134DE" w:rsidRPr="006A1F37" w:rsidRDefault="00D10CEC" w:rsidP="0002756D">
            <w:pPr>
              <w:widowControl w:val="0"/>
              <w:autoSpaceDE w:val="0"/>
              <w:autoSpaceDN w:val="0"/>
              <w:adjustRightInd w:val="0"/>
              <w:spacing w:after="0"/>
              <w:jc w:val="center"/>
              <w:rPr>
                <w:sz w:val="22"/>
                <w:szCs w:val="22"/>
              </w:rPr>
            </w:pPr>
            <w:r w:rsidRPr="006A1F37">
              <w:rPr>
                <w:sz w:val="22"/>
                <w:szCs w:val="22"/>
              </w:rPr>
              <w:t>0.6</w:t>
            </w:r>
            <w:r w:rsidR="001B5C01">
              <w:rPr>
                <w:sz w:val="22"/>
                <w:szCs w:val="22"/>
              </w:rPr>
              <w:t>4</w:t>
            </w:r>
            <w:r w:rsidR="00292272" w:rsidRPr="006A1F37">
              <w:rPr>
                <w:sz w:val="22"/>
                <w:szCs w:val="22"/>
              </w:rPr>
              <w:t>**</w:t>
            </w:r>
          </w:p>
        </w:tc>
        <w:tc>
          <w:tcPr>
            <w:tcW w:w="1839" w:type="dxa"/>
            <w:tcBorders>
              <w:top w:val="nil"/>
              <w:left w:val="nil"/>
              <w:bottom w:val="nil"/>
              <w:right w:val="nil"/>
            </w:tcBorders>
            <w:shd w:val="clear" w:color="auto" w:fill="FFFFFF" w:themeFill="background1"/>
          </w:tcPr>
          <w:p w14:paraId="6DF9F96F" w14:textId="74D9AD7F" w:rsidR="003134DE" w:rsidRPr="006A1F37" w:rsidRDefault="001B5C01">
            <w:pPr>
              <w:widowControl w:val="0"/>
              <w:autoSpaceDE w:val="0"/>
              <w:autoSpaceDN w:val="0"/>
              <w:adjustRightInd w:val="0"/>
              <w:spacing w:after="0"/>
              <w:jc w:val="center"/>
              <w:rPr>
                <w:sz w:val="22"/>
                <w:szCs w:val="22"/>
              </w:rPr>
            </w:pPr>
            <w:r>
              <w:rPr>
                <w:sz w:val="22"/>
                <w:szCs w:val="22"/>
              </w:rPr>
              <w:t>4.74</w:t>
            </w:r>
            <w:r w:rsidR="003134DE" w:rsidRPr="006A1F37">
              <w:rPr>
                <w:sz w:val="22"/>
                <w:szCs w:val="22"/>
              </w:rPr>
              <w:t>*</w:t>
            </w:r>
          </w:p>
        </w:tc>
      </w:tr>
      <w:tr w:rsidR="003134DE" w:rsidRPr="006A1F37" w14:paraId="5457BD3A" w14:textId="77777777" w:rsidTr="006A1F37">
        <w:trPr>
          <w:trHeight w:val="268"/>
        </w:trPr>
        <w:tc>
          <w:tcPr>
            <w:tcW w:w="3761" w:type="dxa"/>
            <w:tcBorders>
              <w:top w:val="nil"/>
              <w:left w:val="nil"/>
              <w:bottom w:val="nil"/>
              <w:right w:val="nil"/>
            </w:tcBorders>
            <w:shd w:val="clear" w:color="auto" w:fill="FFFFFF" w:themeFill="background1"/>
          </w:tcPr>
          <w:p w14:paraId="06D3F5C3"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FFFFF" w:themeFill="background1"/>
          </w:tcPr>
          <w:p w14:paraId="56AD3AC5" w14:textId="441BCAC5" w:rsidR="003134DE" w:rsidRPr="006A1F37" w:rsidRDefault="00D10CEC" w:rsidP="0002756D">
            <w:pPr>
              <w:widowControl w:val="0"/>
              <w:autoSpaceDE w:val="0"/>
              <w:autoSpaceDN w:val="0"/>
              <w:adjustRightInd w:val="0"/>
              <w:spacing w:after="0"/>
              <w:jc w:val="center"/>
              <w:rPr>
                <w:sz w:val="22"/>
                <w:szCs w:val="22"/>
              </w:rPr>
            </w:pPr>
            <w:r w:rsidRPr="006A1F37">
              <w:rPr>
                <w:sz w:val="22"/>
                <w:szCs w:val="22"/>
              </w:rPr>
              <w:t>(0.13</w:t>
            </w:r>
            <w:r w:rsidR="00292272" w:rsidRPr="006A1F37">
              <w:rPr>
                <w:sz w:val="22"/>
                <w:szCs w:val="22"/>
              </w:rPr>
              <w:t>)</w:t>
            </w:r>
          </w:p>
        </w:tc>
        <w:tc>
          <w:tcPr>
            <w:tcW w:w="1839" w:type="dxa"/>
            <w:tcBorders>
              <w:top w:val="nil"/>
              <w:left w:val="nil"/>
              <w:bottom w:val="nil"/>
              <w:right w:val="nil"/>
            </w:tcBorders>
            <w:shd w:val="clear" w:color="auto" w:fill="FFFFFF" w:themeFill="background1"/>
          </w:tcPr>
          <w:p w14:paraId="0C87E48D" w14:textId="207D872B"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(2.</w:t>
            </w:r>
            <w:r w:rsidR="001B5C01">
              <w:rPr>
                <w:sz w:val="22"/>
                <w:szCs w:val="22"/>
              </w:rPr>
              <w:t>18</w:t>
            </w:r>
            <w:r w:rsidRPr="006A1F37">
              <w:rPr>
                <w:sz w:val="22"/>
                <w:szCs w:val="22"/>
              </w:rPr>
              <w:t>)</w:t>
            </w:r>
          </w:p>
        </w:tc>
      </w:tr>
      <w:tr w:rsidR="003134DE" w:rsidRPr="006A1F37" w14:paraId="6EE636A7" w14:textId="77777777" w:rsidTr="006A1F37">
        <w:trPr>
          <w:trHeight w:val="268"/>
        </w:trPr>
        <w:tc>
          <w:tcPr>
            <w:tcW w:w="3761" w:type="dxa"/>
            <w:tcBorders>
              <w:top w:val="nil"/>
              <w:left w:val="nil"/>
              <w:bottom w:val="nil"/>
              <w:right w:val="nil"/>
            </w:tcBorders>
            <w:shd w:val="clear" w:color="auto" w:fill="F2F2F2" w:themeFill="background1" w:themeFillShade="F2"/>
          </w:tcPr>
          <w:p w14:paraId="45034944"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Non-white Indicator</w:t>
            </w:r>
          </w:p>
        </w:tc>
        <w:tc>
          <w:tcPr>
            <w:tcW w:w="2293" w:type="dxa"/>
            <w:tcBorders>
              <w:top w:val="nil"/>
              <w:left w:val="nil"/>
              <w:bottom w:val="nil"/>
              <w:right w:val="nil"/>
            </w:tcBorders>
            <w:shd w:val="clear" w:color="auto" w:fill="F2F2F2" w:themeFill="background1" w:themeFillShade="F2"/>
          </w:tcPr>
          <w:p w14:paraId="7DCDF929" w14:textId="78A27809" w:rsidR="003134DE" w:rsidRPr="006A1F37" w:rsidRDefault="00D10CEC" w:rsidP="0002756D">
            <w:pPr>
              <w:widowControl w:val="0"/>
              <w:autoSpaceDE w:val="0"/>
              <w:autoSpaceDN w:val="0"/>
              <w:adjustRightInd w:val="0"/>
              <w:spacing w:after="0"/>
              <w:jc w:val="center"/>
              <w:rPr>
                <w:sz w:val="22"/>
                <w:szCs w:val="22"/>
              </w:rPr>
            </w:pPr>
            <w:r w:rsidRPr="006A1F37">
              <w:rPr>
                <w:sz w:val="22"/>
                <w:szCs w:val="22"/>
              </w:rPr>
              <w:t>0.05</w:t>
            </w:r>
          </w:p>
        </w:tc>
        <w:tc>
          <w:tcPr>
            <w:tcW w:w="1839" w:type="dxa"/>
            <w:tcBorders>
              <w:top w:val="nil"/>
              <w:left w:val="nil"/>
              <w:bottom w:val="nil"/>
              <w:right w:val="nil"/>
            </w:tcBorders>
            <w:shd w:val="clear" w:color="auto" w:fill="F2F2F2" w:themeFill="background1" w:themeFillShade="F2"/>
          </w:tcPr>
          <w:p w14:paraId="2A1E7E76" w14:textId="38E617C3" w:rsidR="003134DE" w:rsidRPr="006A1F37" w:rsidRDefault="001B5C01" w:rsidP="0002756D">
            <w:pPr>
              <w:widowControl w:val="0"/>
              <w:autoSpaceDE w:val="0"/>
              <w:autoSpaceDN w:val="0"/>
              <w:adjustRightInd w:val="0"/>
              <w:spacing w:after="0"/>
              <w:jc w:val="center"/>
              <w:rPr>
                <w:sz w:val="22"/>
                <w:szCs w:val="22"/>
              </w:rPr>
            </w:pPr>
            <w:r>
              <w:rPr>
                <w:sz w:val="22"/>
                <w:szCs w:val="22"/>
              </w:rPr>
              <w:t>-</w:t>
            </w:r>
            <w:r w:rsidR="003134DE" w:rsidRPr="006A1F37">
              <w:rPr>
                <w:sz w:val="22"/>
                <w:szCs w:val="22"/>
              </w:rPr>
              <w:t>0.</w:t>
            </w:r>
            <w:r w:rsidR="00F25B3A" w:rsidRPr="006A1F37">
              <w:rPr>
                <w:sz w:val="22"/>
                <w:szCs w:val="22"/>
              </w:rPr>
              <w:t>3</w:t>
            </w:r>
            <w:r>
              <w:rPr>
                <w:sz w:val="22"/>
                <w:szCs w:val="22"/>
              </w:rPr>
              <w:t>2</w:t>
            </w:r>
          </w:p>
        </w:tc>
      </w:tr>
      <w:tr w:rsidR="003134DE" w:rsidRPr="006A1F37" w14:paraId="26AB7BEB" w14:textId="77777777" w:rsidTr="006A1F37">
        <w:trPr>
          <w:trHeight w:val="247"/>
        </w:trPr>
        <w:tc>
          <w:tcPr>
            <w:tcW w:w="3761" w:type="dxa"/>
            <w:tcBorders>
              <w:top w:val="nil"/>
              <w:left w:val="nil"/>
              <w:bottom w:val="nil"/>
              <w:right w:val="nil"/>
            </w:tcBorders>
            <w:shd w:val="clear" w:color="auto" w:fill="F2F2F2" w:themeFill="background1" w:themeFillShade="F2"/>
          </w:tcPr>
          <w:p w14:paraId="10CB90F1"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2F2F2" w:themeFill="background1" w:themeFillShade="F2"/>
          </w:tcPr>
          <w:p w14:paraId="68EACD6A" w14:textId="74F40A83" w:rsidR="003134DE" w:rsidRPr="006A1F37" w:rsidRDefault="00204839" w:rsidP="0002756D">
            <w:pPr>
              <w:widowControl w:val="0"/>
              <w:autoSpaceDE w:val="0"/>
              <w:autoSpaceDN w:val="0"/>
              <w:adjustRightInd w:val="0"/>
              <w:spacing w:after="0"/>
              <w:jc w:val="center"/>
              <w:rPr>
                <w:sz w:val="22"/>
                <w:szCs w:val="22"/>
              </w:rPr>
            </w:pPr>
            <w:r w:rsidRPr="006A1F37">
              <w:rPr>
                <w:sz w:val="22"/>
                <w:szCs w:val="22"/>
              </w:rPr>
              <w:t>(0.03</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6C843328" w14:textId="241EBCE4" w:rsidR="003134DE" w:rsidRPr="006A1F37" w:rsidRDefault="00F25B3A" w:rsidP="0002756D">
            <w:pPr>
              <w:widowControl w:val="0"/>
              <w:autoSpaceDE w:val="0"/>
              <w:autoSpaceDN w:val="0"/>
              <w:adjustRightInd w:val="0"/>
              <w:spacing w:after="0"/>
              <w:jc w:val="center"/>
              <w:rPr>
                <w:sz w:val="22"/>
                <w:szCs w:val="22"/>
              </w:rPr>
            </w:pPr>
            <w:r w:rsidRPr="006A1F37">
              <w:rPr>
                <w:sz w:val="22"/>
                <w:szCs w:val="22"/>
              </w:rPr>
              <w:t>(0.7</w:t>
            </w:r>
            <w:r w:rsidR="001B5C01">
              <w:rPr>
                <w:sz w:val="22"/>
                <w:szCs w:val="22"/>
              </w:rPr>
              <w:t>4</w:t>
            </w:r>
            <w:r w:rsidR="003134DE" w:rsidRPr="006A1F37">
              <w:rPr>
                <w:sz w:val="22"/>
                <w:szCs w:val="22"/>
              </w:rPr>
              <w:t>)</w:t>
            </w:r>
          </w:p>
        </w:tc>
      </w:tr>
      <w:tr w:rsidR="003134DE" w:rsidRPr="006A1F37" w14:paraId="71E8ADB5" w14:textId="77777777" w:rsidTr="006A1F37">
        <w:trPr>
          <w:trHeight w:val="247"/>
        </w:trPr>
        <w:tc>
          <w:tcPr>
            <w:tcW w:w="3761" w:type="dxa"/>
            <w:tcBorders>
              <w:top w:val="nil"/>
              <w:left w:val="nil"/>
              <w:bottom w:val="nil"/>
              <w:right w:val="nil"/>
            </w:tcBorders>
            <w:shd w:val="clear" w:color="auto" w:fill="auto"/>
          </w:tcPr>
          <w:p w14:paraId="1BBDBFEA"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Age</w:t>
            </w:r>
          </w:p>
        </w:tc>
        <w:tc>
          <w:tcPr>
            <w:tcW w:w="2293" w:type="dxa"/>
            <w:tcBorders>
              <w:top w:val="nil"/>
              <w:left w:val="nil"/>
              <w:bottom w:val="nil"/>
              <w:right w:val="nil"/>
            </w:tcBorders>
          </w:tcPr>
          <w:p w14:paraId="66AA778B" w14:textId="5A83A068" w:rsidR="003134DE" w:rsidRPr="006A1F37" w:rsidRDefault="001B5C01" w:rsidP="0002756D">
            <w:pPr>
              <w:widowControl w:val="0"/>
              <w:autoSpaceDE w:val="0"/>
              <w:autoSpaceDN w:val="0"/>
              <w:adjustRightInd w:val="0"/>
              <w:spacing w:after="0"/>
              <w:jc w:val="center"/>
              <w:rPr>
                <w:sz w:val="22"/>
                <w:szCs w:val="22"/>
              </w:rPr>
            </w:pPr>
            <w:r>
              <w:rPr>
                <w:sz w:val="22"/>
                <w:szCs w:val="22"/>
              </w:rPr>
              <w:t>-</w:t>
            </w:r>
            <w:r w:rsidR="00292272" w:rsidRPr="006A1F37">
              <w:rPr>
                <w:sz w:val="22"/>
                <w:szCs w:val="22"/>
              </w:rPr>
              <w:t>0.00</w:t>
            </w:r>
          </w:p>
        </w:tc>
        <w:tc>
          <w:tcPr>
            <w:tcW w:w="1839" w:type="dxa"/>
            <w:tcBorders>
              <w:top w:val="nil"/>
              <w:left w:val="nil"/>
              <w:bottom w:val="nil"/>
              <w:right w:val="nil"/>
            </w:tcBorders>
            <w:shd w:val="clear" w:color="auto" w:fill="auto"/>
          </w:tcPr>
          <w:p w14:paraId="597829CE" w14:textId="04199523"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-0.0</w:t>
            </w:r>
            <w:r w:rsidR="00F25B3A" w:rsidRPr="006A1F37">
              <w:rPr>
                <w:sz w:val="22"/>
                <w:szCs w:val="22"/>
              </w:rPr>
              <w:t>0</w:t>
            </w:r>
          </w:p>
        </w:tc>
      </w:tr>
      <w:tr w:rsidR="003134DE" w:rsidRPr="006A1F37" w14:paraId="1E498360" w14:textId="77777777" w:rsidTr="006A1F37">
        <w:trPr>
          <w:trHeight w:val="247"/>
        </w:trPr>
        <w:tc>
          <w:tcPr>
            <w:tcW w:w="3761" w:type="dxa"/>
            <w:tcBorders>
              <w:top w:val="nil"/>
              <w:left w:val="nil"/>
              <w:bottom w:val="nil"/>
              <w:right w:val="nil"/>
            </w:tcBorders>
            <w:shd w:val="clear" w:color="auto" w:fill="auto"/>
          </w:tcPr>
          <w:p w14:paraId="065CEBD9"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tcPr>
          <w:p w14:paraId="37A819B6" w14:textId="5C80F0DF" w:rsidR="003134DE" w:rsidRPr="006A1F37" w:rsidRDefault="00292272" w:rsidP="0002756D">
            <w:pPr>
              <w:widowControl w:val="0"/>
              <w:autoSpaceDE w:val="0"/>
              <w:autoSpaceDN w:val="0"/>
              <w:adjustRightInd w:val="0"/>
              <w:spacing w:after="0"/>
              <w:jc w:val="center"/>
              <w:rPr>
                <w:sz w:val="22"/>
                <w:szCs w:val="22"/>
              </w:rPr>
            </w:pPr>
            <w:r w:rsidRPr="006A1F37">
              <w:rPr>
                <w:sz w:val="22"/>
                <w:szCs w:val="22"/>
              </w:rPr>
              <w:t>(0.00)</w:t>
            </w:r>
          </w:p>
        </w:tc>
        <w:tc>
          <w:tcPr>
            <w:tcW w:w="1839" w:type="dxa"/>
            <w:tcBorders>
              <w:top w:val="nil"/>
              <w:left w:val="nil"/>
              <w:bottom w:val="nil"/>
              <w:right w:val="nil"/>
            </w:tcBorders>
            <w:shd w:val="clear" w:color="auto" w:fill="auto"/>
          </w:tcPr>
          <w:p w14:paraId="35D0974F" w14:textId="34B8FBFE"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(0.01)</w:t>
            </w:r>
          </w:p>
        </w:tc>
      </w:tr>
      <w:tr w:rsidR="003134DE" w:rsidRPr="006A1F37" w14:paraId="75E09F31" w14:textId="77777777" w:rsidTr="006A1F37">
        <w:trPr>
          <w:trHeight w:val="268"/>
        </w:trPr>
        <w:tc>
          <w:tcPr>
            <w:tcW w:w="3761" w:type="dxa"/>
            <w:tcBorders>
              <w:top w:val="nil"/>
              <w:left w:val="nil"/>
              <w:bottom w:val="nil"/>
              <w:right w:val="nil"/>
            </w:tcBorders>
            <w:shd w:val="clear" w:color="auto" w:fill="F2F2F2" w:themeFill="background1" w:themeFillShade="F2"/>
          </w:tcPr>
          <w:p w14:paraId="0541ACE8"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Male Indicator</w:t>
            </w:r>
          </w:p>
        </w:tc>
        <w:tc>
          <w:tcPr>
            <w:tcW w:w="2293" w:type="dxa"/>
            <w:tcBorders>
              <w:top w:val="nil"/>
              <w:left w:val="nil"/>
              <w:bottom w:val="nil"/>
              <w:right w:val="nil"/>
            </w:tcBorders>
            <w:shd w:val="clear" w:color="auto" w:fill="F2F2F2" w:themeFill="background1" w:themeFillShade="F2"/>
          </w:tcPr>
          <w:p w14:paraId="6330FCC4" w14:textId="3F885B7F" w:rsidR="003134DE" w:rsidRPr="006A1F37" w:rsidRDefault="00204839" w:rsidP="0002756D">
            <w:pPr>
              <w:widowControl w:val="0"/>
              <w:autoSpaceDE w:val="0"/>
              <w:autoSpaceDN w:val="0"/>
              <w:adjustRightInd w:val="0"/>
              <w:spacing w:after="0"/>
              <w:jc w:val="center"/>
              <w:rPr>
                <w:sz w:val="22"/>
                <w:szCs w:val="22"/>
              </w:rPr>
            </w:pPr>
            <w:r w:rsidRPr="006A1F37">
              <w:rPr>
                <w:sz w:val="22"/>
                <w:szCs w:val="22"/>
              </w:rPr>
              <w:t>0.03</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4392E825" w14:textId="326DD237" w:rsidR="003134DE" w:rsidRPr="006A1F37" w:rsidRDefault="001B5C01" w:rsidP="0002756D">
            <w:pPr>
              <w:widowControl w:val="0"/>
              <w:autoSpaceDE w:val="0"/>
              <w:autoSpaceDN w:val="0"/>
              <w:adjustRightInd w:val="0"/>
              <w:spacing w:after="0"/>
              <w:jc w:val="center"/>
              <w:rPr>
                <w:sz w:val="22"/>
                <w:szCs w:val="22"/>
              </w:rPr>
            </w:pPr>
            <w:r>
              <w:rPr>
                <w:sz w:val="22"/>
                <w:szCs w:val="22"/>
              </w:rPr>
              <w:t>-</w:t>
            </w:r>
            <w:r w:rsidR="00F25B3A" w:rsidRPr="006A1F37">
              <w:rPr>
                <w:sz w:val="22"/>
                <w:szCs w:val="22"/>
              </w:rPr>
              <w:t>0.1</w:t>
            </w:r>
            <w:r>
              <w:rPr>
                <w:sz w:val="22"/>
                <w:szCs w:val="22"/>
              </w:rPr>
              <w:t>5</w:t>
            </w:r>
          </w:p>
        </w:tc>
      </w:tr>
      <w:tr w:rsidR="003134DE" w:rsidRPr="006A1F37" w14:paraId="7143B7A0" w14:textId="77777777" w:rsidTr="006A1F37">
        <w:trPr>
          <w:trHeight w:val="247"/>
        </w:trPr>
        <w:tc>
          <w:tcPr>
            <w:tcW w:w="3761" w:type="dxa"/>
            <w:tcBorders>
              <w:top w:val="nil"/>
              <w:left w:val="nil"/>
              <w:bottom w:val="nil"/>
              <w:right w:val="nil"/>
            </w:tcBorders>
            <w:shd w:val="clear" w:color="auto" w:fill="F2F2F2" w:themeFill="background1" w:themeFillShade="F2"/>
          </w:tcPr>
          <w:p w14:paraId="45480D24"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2F2F2" w:themeFill="background1" w:themeFillShade="F2"/>
          </w:tcPr>
          <w:p w14:paraId="51D23553" w14:textId="219CAD51" w:rsidR="003134DE" w:rsidRPr="006A1F37" w:rsidRDefault="00204839" w:rsidP="0002756D">
            <w:pPr>
              <w:widowControl w:val="0"/>
              <w:autoSpaceDE w:val="0"/>
              <w:autoSpaceDN w:val="0"/>
              <w:adjustRightInd w:val="0"/>
              <w:spacing w:after="0"/>
              <w:jc w:val="center"/>
              <w:rPr>
                <w:sz w:val="22"/>
                <w:szCs w:val="22"/>
              </w:rPr>
            </w:pPr>
            <w:r w:rsidRPr="006A1F37">
              <w:rPr>
                <w:sz w:val="22"/>
                <w:szCs w:val="22"/>
              </w:rPr>
              <w:t>(0.02</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782CFF1B" w14:textId="080A309B"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(0.4</w:t>
            </w:r>
            <w:r w:rsidR="001B5C01">
              <w:rPr>
                <w:sz w:val="22"/>
                <w:szCs w:val="22"/>
              </w:rPr>
              <w:t>1</w:t>
            </w:r>
            <w:r w:rsidRPr="006A1F37">
              <w:rPr>
                <w:sz w:val="22"/>
                <w:szCs w:val="22"/>
              </w:rPr>
              <w:t>)</w:t>
            </w:r>
          </w:p>
        </w:tc>
      </w:tr>
      <w:tr w:rsidR="003134DE" w:rsidRPr="006A1F37" w14:paraId="288AB9A1" w14:textId="77777777" w:rsidTr="006A1F37">
        <w:trPr>
          <w:trHeight w:val="247"/>
        </w:trPr>
        <w:tc>
          <w:tcPr>
            <w:tcW w:w="3761" w:type="dxa"/>
            <w:tcBorders>
              <w:top w:val="nil"/>
              <w:left w:val="nil"/>
              <w:bottom w:val="nil"/>
              <w:right w:val="nil"/>
            </w:tcBorders>
            <w:shd w:val="clear" w:color="auto" w:fill="auto"/>
          </w:tcPr>
          <w:p w14:paraId="4DE8690A"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Education</w:t>
            </w:r>
          </w:p>
        </w:tc>
        <w:tc>
          <w:tcPr>
            <w:tcW w:w="2293" w:type="dxa"/>
            <w:tcBorders>
              <w:top w:val="nil"/>
              <w:left w:val="nil"/>
              <w:bottom w:val="nil"/>
              <w:right w:val="nil"/>
            </w:tcBorders>
          </w:tcPr>
          <w:p w14:paraId="305C0D51" w14:textId="021AAFA0" w:rsidR="003134DE" w:rsidRPr="006A1F37" w:rsidRDefault="00D10CEC" w:rsidP="0002756D">
            <w:pPr>
              <w:widowControl w:val="0"/>
              <w:autoSpaceDE w:val="0"/>
              <w:autoSpaceDN w:val="0"/>
              <w:adjustRightInd w:val="0"/>
              <w:spacing w:after="0"/>
              <w:jc w:val="center"/>
              <w:rPr>
                <w:sz w:val="22"/>
                <w:szCs w:val="22"/>
              </w:rPr>
            </w:pPr>
            <w:r w:rsidRPr="006A1F37">
              <w:rPr>
                <w:sz w:val="22"/>
                <w:szCs w:val="22"/>
              </w:rPr>
              <w:t>0.0</w:t>
            </w:r>
            <w:r w:rsidR="001B5C01">
              <w:rPr>
                <w:sz w:val="22"/>
                <w:szCs w:val="22"/>
              </w:rPr>
              <w:t>7</w:t>
            </w:r>
          </w:p>
        </w:tc>
        <w:tc>
          <w:tcPr>
            <w:tcW w:w="1839" w:type="dxa"/>
            <w:tcBorders>
              <w:top w:val="nil"/>
              <w:left w:val="nil"/>
              <w:bottom w:val="nil"/>
              <w:right w:val="nil"/>
            </w:tcBorders>
            <w:shd w:val="clear" w:color="auto" w:fill="auto"/>
          </w:tcPr>
          <w:p w14:paraId="68127E78" w14:textId="667B8E27" w:rsidR="003134DE" w:rsidRPr="006A1F37" w:rsidRDefault="001B5C01" w:rsidP="0002756D">
            <w:pPr>
              <w:widowControl w:val="0"/>
              <w:autoSpaceDE w:val="0"/>
              <w:autoSpaceDN w:val="0"/>
              <w:adjustRightInd w:val="0"/>
              <w:spacing w:after="0"/>
              <w:jc w:val="center"/>
              <w:rPr>
                <w:sz w:val="22"/>
                <w:szCs w:val="22"/>
              </w:rPr>
            </w:pPr>
            <w:r>
              <w:rPr>
                <w:sz w:val="22"/>
                <w:szCs w:val="22"/>
              </w:rPr>
              <w:t>1.22</w:t>
            </w:r>
          </w:p>
        </w:tc>
      </w:tr>
      <w:tr w:rsidR="003134DE" w:rsidRPr="006A1F37" w14:paraId="6BF03E7B" w14:textId="77777777" w:rsidTr="006A1F37">
        <w:trPr>
          <w:trHeight w:val="247"/>
        </w:trPr>
        <w:tc>
          <w:tcPr>
            <w:tcW w:w="3761" w:type="dxa"/>
            <w:tcBorders>
              <w:top w:val="nil"/>
              <w:left w:val="nil"/>
              <w:bottom w:val="nil"/>
              <w:right w:val="nil"/>
            </w:tcBorders>
            <w:shd w:val="clear" w:color="auto" w:fill="auto"/>
          </w:tcPr>
          <w:p w14:paraId="6D002EE0"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tcPr>
          <w:p w14:paraId="44EF360C" w14:textId="35FCE0B7" w:rsidR="003134DE" w:rsidRPr="006A1F37" w:rsidRDefault="00204839" w:rsidP="0002756D">
            <w:pPr>
              <w:widowControl w:val="0"/>
              <w:autoSpaceDE w:val="0"/>
              <w:autoSpaceDN w:val="0"/>
              <w:adjustRightInd w:val="0"/>
              <w:spacing w:after="0"/>
              <w:jc w:val="center"/>
              <w:rPr>
                <w:sz w:val="22"/>
                <w:szCs w:val="22"/>
              </w:rPr>
            </w:pPr>
            <w:r w:rsidRPr="006A1F37">
              <w:rPr>
                <w:sz w:val="22"/>
                <w:szCs w:val="22"/>
              </w:rPr>
              <w:t>(0.04</w:t>
            </w:r>
            <w:r w:rsidR="00292272" w:rsidRPr="006A1F37">
              <w:rPr>
                <w:sz w:val="22"/>
                <w:szCs w:val="22"/>
              </w:rPr>
              <w:t>)</w:t>
            </w:r>
          </w:p>
        </w:tc>
        <w:tc>
          <w:tcPr>
            <w:tcW w:w="1839" w:type="dxa"/>
            <w:tcBorders>
              <w:top w:val="nil"/>
              <w:left w:val="nil"/>
              <w:bottom w:val="nil"/>
              <w:right w:val="nil"/>
            </w:tcBorders>
            <w:shd w:val="clear" w:color="auto" w:fill="auto"/>
          </w:tcPr>
          <w:p w14:paraId="3B133BF7" w14:textId="4633B714"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w:t>
            </w:r>
            <w:r w:rsidR="00F25B3A" w:rsidRPr="006A1F37">
              <w:rPr>
                <w:sz w:val="22"/>
                <w:szCs w:val="22"/>
              </w:rPr>
              <w:t>1.</w:t>
            </w:r>
            <w:r w:rsidR="001B5C01">
              <w:rPr>
                <w:sz w:val="22"/>
                <w:szCs w:val="22"/>
              </w:rPr>
              <w:t>09</w:t>
            </w:r>
            <w:r w:rsidRPr="006A1F37">
              <w:rPr>
                <w:sz w:val="22"/>
                <w:szCs w:val="22"/>
              </w:rPr>
              <w:t>)</w:t>
            </w:r>
          </w:p>
        </w:tc>
      </w:tr>
      <w:tr w:rsidR="003134DE" w:rsidRPr="006A1F37" w14:paraId="3601A426" w14:textId="77777777" w:rsidTr="006A1F37">
        <w:trPr>
          <w:trHeight w:val="268"/>
        </w:trPr>
        <w:tc>
          <w:tcPr>
            <w:tcW w:w="3761" w:type="dxa"/>
            <w:tcBorders>
              <w:top w:val="nil"/>
              <w:left w:val="nil"/>
              <w:bottom w:val="nil"/>
              <w:right w:val="nil"/>
            </w:tcBorders>
            <w:shd w:val="clear" w:color="auto" w:fill="F2F2F2" w:themeFill="background1" w:themeFillShade="F2"/>
          </w:tcPr>
          <w:p w14:paraId="7A99E705"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Income</w:t>
            </w:r>
          </w:p>
        </w:tc>
        <w:tc>
          <w:tcPr>
            <w:tcW w:w="2293" w:type="dxa"/>
            <w:tcBorders>
              <w:top w:val="nil"/>
              <w:left w:val="nil"/>
              <w:bottom w:val="nil"/>
              <w:right w:val="nil"/>
            </w:tcBorders>
            <w:shd w:val="clear" w:color="auto" w:fill="F2F2F2" w:themeFill="background1" w:themeFillShade="F2"/>
          </w:tcPr>
          <w:p w14:paraId="1E3EE6C8" w14:textId="2A65839A" w:rsidR="003134DE" w:rsidRPr="006A1F37" w:rsidRDefault="00D10CEC" w:rsidP="0002756D">
            <w:pPr>
              <w:widowControl w:val="0"/>
              <w:autoSpaceDE w:val="0"/>
              <w:autoSpaceDN w:val="0"/>
              <w:adjustRightInd w:val="0"/>
              <w:spacing w:after="0"/>
              <w:jc w:val="center"/>
              <w:rPr>
                <w:sz w:val="22"/>
                <w:szCs w:val="22"/>
              </w:rPr>
            </w:pPr>
            <w:r w:rsidRPr="006A1F37">
              <w:rPr>
                <w:sz w:val="22"/>
                <w:szCs w:val="22"/>
              </w:rPr>
              <w:t>0.04</w:t>
            </w:r>
          </w:p>
        </w:tc>
        <w:tc>
          <w:tcPr>
            <w:tcW w:w="1839" w:type="dxa"/>
            <w:tcBorders>
              <w:top w:val="nil"/>
              <w:left w:val="nil"/>
              <w:bottom w:val="nil"/>
              <w:right w:val="nil"/>
            </w:tcBorders>
            <w:shd w:val="clear" w:color="auto" w:fill="F2F2F2" w:themeFill="background1" w:themeFillShade="F2"/>
          </w:tcPr>
          <w:p w14:paraId="7D40B235" w14:textId="42848B04" w:rsidR="003134DE" w:rsidRPr="006A1F37" w:rsidRDefault="00F25B3A" w:rsidP="0002756D">
            <w:pPr>
              <w:widowControl w:val="0"/>
              <w:autoSpaceDE w:val="0"/>
              <w:autoSpaceDN w:val="0"/>
              <w:adjustRightInd w:val="0"/>
              <w:spacing w:after="0"/>
              <w:jc w:val="center"/>
              <w:rPr>
                <w:sz w:val="22"/>
                <w:szCs w:val="22"/>
              </w:rPr>
            </w:pPr>
            <w:r w:rsidRPr="006A1F37">
              <w:rPr>
                <w:sz w:val="22"/>
                <w:szCs w:val="22"/>
              </w:rPr>
              <w:t>0.0</w:t>
            </w:r>
            <w:r w:rsidR="001B5C01">
              <w:rPr>
                <w:sz w:val="22"/>
                <w:szCs w:val="22"/>
              </w:rPr>
              <w:t>5</w:t>
            </w:r>
          </w:p>
        </w:tc>
      </w:tr>
      <w:tr w:rsidR="003134DE" w:rsidRPr="006A1F37" w14:paraId="2FF26E73" w14:textId="77777777" w:rsidTr="006A1F37">
        <w:trPr>
          <w:trHeight w:val="60"/>
        </w:trPr>
        <w:tc>
          <w:tcPr>
            <w:tcW w:w="3761" w:type="dxa"/>
            <w:tcBorders>
              <w:top w:val="nil"/>
              <w:left w:val="nil"/>
              <w:bottom w:val="nil"/>
              <w:right w:val="nil"/>
            </w:tcBorders>
            <w:shd w:val="clear" w:color="auto" w:fill="F2F2F2" w:themeFill="background1" w:themeFillShade="F2"/>
          </w:tcPr>
          <w:p w14:paraId="78031A3F"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2F2F2" w:themeFill="background1" w:themeFillShade="F2"/>
          </w:tcPr>
          <w:p w14:paraId="1C7B2BCA" w14:textId="295D9A34" w:rsidR="003134DE" w:rsidRPr="006A1F37" w:rsidRDefault="00204839" w:rsidP="0002756D">
            <w:pPr>
              <w:widowControl w:val="0"/>
              <w:autoSpaceDE w:val="0"/>
              <w:autoSpaceDN w:val="0"/>
              <w:adjustRightInd w:val="0"/>
              <w:spacing w:after="0"/>
              <w:jc w:val="center"/>
              <w:rPr>
                <w:sz w:val="22"/>
                <w:szCs w:val="22"/>
              </w:rPr>
            </w:pPr>
            <w:r w:rsidRPr="006A1F37">
              <w:rPr>
                <w:sz w:val="22"/>
                <w:szCs w:val="22"/>
              </w:rPr>
              <w:t>(0.05</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2A12D7ED" w14:textId="42AEEECD"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(1.</w:t>
            </w:r>
            <w:r w:rsidR="001B5C01">
              <w:rPr>
                <w:sz w:val="22"/>
                <w:szCs w:val="22"/>
              </w:rPr>
              <w:t>15</w:t>
            </w:r>
            <w:r w:rsidRPr="006A1F37">
              <w:rPr>
                <w:sz w:val="22"/>
                <w:szCs w:val="22"/>
              </w:rPr>
              <w:t>)</w:t>
            </w:r>
          </w:p>
        </w:tc>
      </w:tr>
      <w:tr w:rsidR="003134DE" w:rsidRPr="006A1F37" w14:paraId="54793BE7" w14:textId="77777777" w:rsidTr="006A1F37">
        <w:trPr>
          <w:trHeight w:val="247"/>
        </w:trPr>
        <w:tc>
          <w:tcPr>
            <w:tcW w:w="3761" w:type="dxa"/>
            <w:tcBorders>
              <w:top w:val="nil"/>
              <w:left w:val="nil"/>
              <w:bottom w:val="nil"/>
              <w:right w:val="nil"/>
            </w:tcBorders>
            <w:shd w:val="clear" w:color="auto" w:fill="auto"/>
          </w:tcPr>
          <w:p w14:paraId="0283F2F8" w14:textId="664A61E9" w:rsidR="003134DE" w:rsidRPr="006A1F37" w:rsidRDefault="003134DE">
            <w:pPr>
              <w:widowControl w:val="0"/>
              <w:autoSpaceDE w:val="0"/>
              <w:autoSpaceDN w:val="0"/>
              <w:adjustRightInd w:val="0"/>
              <w:spacing w:after="0"/>
              <w:contextualSpacing/>
              <w:rPr>
                <w:sz w:val="22"/>
                <w:szCs w:val="22"/>
              </w:rPr>
            </w:pPr>
            <w:r w:rsidRPr="006A1F37">
              <w:rPr>
                <w:sz w:val="22"/>
                <w:szCs w:val="22"/>
              </w:rPr>
              <w:t>Vote Intention (</w:t>
            </w:r>
            <w:r w:rsidR="00292272" w:rsidRPr="006A1F37">
              <w:rPr>
                <w:sz w:val="22"/>
                <w:szCs w:val="22"/>
              </w:rPr>
              <w:t xml:space="preserve">September </w:t>
            </w:r>
            <w:r w:rsidRPr="006A1F37">
              <w:rPr>
                <w:sz w:val="22"/>
                <w:szCs w:val="22"/>
              </w:rPr>
              <w:t>2008)</w:t>
            </w:r>
          </w:p>
        </w:tc>
        <w:tc>
          <w:tcPr>
            <w:tcW w:w="2293" w:type="dxa"/>
            <w:tcBorders>
              <w:top w:val="nil"/>
              <w:left w:val="nil"/>
              <w:bottom w:val="nil"/>
              <w:right w:val="nil"/>
            </w:tcBorders>
          </w:tcPr>
          <w:p w14:paraId="3A9AA9C4" w14:textId="52B149E7" w:rsidR="003134DE" w:rsidRPr="006A1F37" w:rsidRDefault="00292272" w:rsidP="0002756D">
            <w:pPr>
              <w:widowControl w:val="0"/>
              <w:autoSpaceDE w:val="0"/>
              <w:autoSpaceDN w:val="0"/>
              <w:adjustRightInd w:val="0"/>
              <w:spacing w:after="0"/>
              <w:jc w:val="center"/>
              <w:rPr>
                <w:sz w:val="22"/>
                <w:szCs w:val="22"/>
              </w:rPr>
            </w:pPr>
            <w:r w:rsidRPr="006A1F37">
              <w:rPr>
                <w:sz w:val="22"/>
                <w:szCs w:val="22"/>
              </w:rPr>
              <w:t>---</w:t>
            </w:r>
          </w:p>
        </w:tc>
        <w:tc>
          <w:tcPr>
            <w:tcW w:w="1839" w:type="dxa"/>
            <w:tcBorders>
              <w:top w:val="nil"/>
              <w:left w:val="nil"/>
              <w:bottom w:val="nil"/>
              <w:right w:val="nil"/>
            </w:tcBorders>
            <w:shd w:val="clear" w:color="auto" w:fill="auto"/>
          </w:tcPr>
          <w:p w14:paraId="1B0CC89F" w14:textId="03B4531B" w:rsidR="003134DE" w:rsidRPr="006A1F37" w:rsidRDefault="00F25B3A" w:rsidP="0002756D">
            <w:pPr>
              <w:widowControl w:val="0"/>
              <w:autoSpaceDE w:val="0"/>
              <w:autoSpaceDN w:val="0"/>
              <w:adjustRightInd w:val="0"/>
              <w:spacing w:after="0"/>
              <w:jc w:val="center"/>
              <w:rPr>
                <w:sz w:val="22"/>
                <w:szCs w:val="22"/>
              </w:rPr>
            </w:pPr>
            <w:r w:rsidRPr="006A1F37">
              <w:rPr>
                <w:sz w:val="22"/>
                <w:szCs w:val="22"/>
              </w:rPr>
              <w:t>4.</w:t>
            </w:r>
            <w:r w:rsidR="001B5C01">
              <w:rPr>
                <w:sz w:val="22"/>
                <w:szCs w:val="22"/>
              </w:rPr>
              <w:t>26</w:t>
            </w:r>
            <w:r w:rsidR="003134DE" w:rsidRPr="006A1F37">
              <w:rPr>
                <w:sz w:val="22"/>
                <w:szCs w:val="22"/>
              </w:rPr>
              <w:t>**</w:t>
            </w:r>
          </w:p>
        </w:tc>
      </w:tr>
      <w:tr w:rsidR="003134DE" w:rsidRPr="006A1F37" w14:paraId="608BBE7E" w14:textId="77777777" w:rsidTr="006A1F37">
        <w:trPr>
          <w:trHeight w:val="268"/>
        </w:trPr>
        <w:tc>
          <w:tcPr>
            <w:tcW w:w="3761" w:type="dxa"/>
            <w:tcBorders>
              <w:top w:val="nil"/>
              <w:left w:val="nil"/>
              <w:bottom w:val="nil"/>
              <w:right w:val="nil"/>
            </w:tcBorders>
            <w:shd w:val="clear" w:color="auto" w:fill="auto"/>
          </w:tcPr>
          <w:p w14:paraId="49FBE9FB"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tcPr>
          <w:p w14:paraId="08B28ACA" w14:textId="77777777" w:rsidR="003134DE" w:rsidRPr="006A1F37" w:rsidRDefault="003134DE" w:rsidP="0002756D">
            <w:pPr>
              <w:widowControl w:val="0"/>
              <w:autoSpaceDE w:val="0"/>
              <w:autoSpaceDN w:val="0"/>
              <w:adjustRightInd w:val="0"/>
              <w:spacing w:after="0"/>
              <w:jc w:val="center"/>
              <w:rPr>
                <w:sz w:val="22"/>
                <w:szCs w:val="22"/>
              </w:rPr>
            </w:pPr>
          </w:p>
        </w:tc>
        <w:tc>
          <w:tcPr>
            <w:tcW w:w="1839" w:type="dxa"/>
            <w:tcBorders>
              <w:top w:val="nil"/>
              <w:left w:val="nil"/>
              <w:bottom w:val="nil"/>
              <w:right w:val="nil"/>
            </w:tcBorders>
            <w:shd w:val="clear" w:color="auto" w:fill="auto"/>
          </w:tcPr>
          <w:p w14:paraId="604C0C96" w14:textId="5F7B2CBF"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(0.4</w:t>
            </w:r>
            <w:r w:rsidR="001B5C01">
              <w:rPr>
                <w:sz w:val="22"/>
                <w:szCs w:val="22"/>
              </w:rPr>
              <w:t>0</w:t>
            </w:r>
            <w:r w:rsidRPr="006A1F37">
              <w:rPr>
                <w:sz w:val="22"/>
                <w:szCs w:val="22"/>
              </w:rPr>
              <w:t>)</w:t>
            </w:r>
          </w:p>
        </w:tc>
      </w:tr>
      <w:tr w:rsidR="00292272" w:rsidRPr="006A1F37" w14:paraId="5E8B4348" w14:textId="77777777" w:rsidTr="006A1F37">
        <w:trPr>
          <w:trHeight w:val="268"/>
        </w:trPr>
        <w:tc>
          <w:tcPr>
            <w:tcW w:w="3761" w:type="dxa"/>
            <w:tcBorders>
              <w:top w:val="nil"/>
              <w:left w:val="nil"/>
              <w:bottom w:val="nil"/>
              <w:right w:val="nil"/>
            </w:tcBorders>
            <w:shd w:val="clear" w:color="auto" w:fill="F2F2F2" w:themeFill="background1" w:themeFillShade="F2"/>
          </w:tcPr>
          <w:p w14:paraId="4C42D39D" w14:textId="767AFDD2" w:rsidR="00292272" w:rsidRPr="006A1F37" w:rsidRDefault="00292272" w:rsidP="00292272">
            <w:pPr>
              <w:widowControl w:val="0"/>
              <w:autoSpaceDE w:val="0"/>
              <w:autoSpaceDN w:val="0"/>
              <w:adjustRightInd w:val="0"/>
              <w:spacing w:after="0"/>
              <w:contextualSpacing/>
              <w:rPr>
                <w:sz w:val="22"/>
                <w:szCs w:val="22"/>
              </w:rPr>
            </w:pPr>
            <w:r w:rsidRPr="006A1F37">
              <w:rPr>
                <w:sz w:val="22"/>
                <w:szCs w:val="22"/>
              </w:rPr>
              <w:t>Candidate Evaluations (January 2008)</w:t>
            </w:r>
          </w:p>
        </w:tc>
        <w:tc>
          <w:tcPr>
            <w:tcW w:w="2293" w:type="dxa"/>
            <w:tcBorders>
              <w:top w:val="nil"/>
              <w:left w:val="nil"/>
              <w:bottom w:val="nil"/>
              <w:right w:val="nil"/>
            </w:tcBorders>
            <w:shd w:val="clear" w:color="auto" w:fill="F2F2F2" w:themeFill="background1" w:themeFillShade="F2"/>
          </w:tcPr>
          <w:p w14:paraId="3ABD106B" w14:textId="31A669FB" w:rsidR="00292272" w:rsidRPr="006A1F37" w:rsidRDefault="004A24B6" w:rsidP="00292272">
            <w:pPr>
              <w:widowControl w:val="0"/>
              <w:autoSpaceDE w:val="0"/>
              <w:autoSpaceDN w:val="0"/>
              <w:adjustRightInd w:val="0"/>
              <w:spacing w:after="0"/>
              <w:jc w:val="center"/>
              <w:rPr>
                <w:sz w:val="22"/>
                <w:szCs w:val="22"/>
              </w:rPr>
            </w:pPr>
            <w:r w:rsidRPr="006A1F37">
              <w:rPr>
                <w:sz w:val="22"/>
                <w:szCs w:val="22"/>
              </w:rPr>
              <w:t>0.53</w:t>
            </w:r>
            <w:r w:rsidR="00292272" w:rsidRPr="006A1F37">
              <w:rPr>
                <w:sz w:val="22"/>
                <w:szCs w:val="22"/>
              </w:rPr>
              <w:t>**</w:t>
            </w:r>
          </w:p>
        </w:tc>
        <w:tc>
          <w:tcPr>
            <w:tcW w:w="1839" w:type="dxa"/>
            <w:tcBorders>
              <w:top w:val="nil"/>
              <w:left w:val="nil"/>
              <w:bottom w:val="nil"/>
              <w:right w:val="nil"/>
            </w:tcBorders>
            <w:shd w:val="clear" w:color="auto" w:fill="F2F2F2" w:themeFill="background1" w:themeFillShade="F2"/>
          </w:tcPr>
          <w:p w14:paraId="022B9F4F" w14:textId="45C28043" w:rsidR="00292272" w:rsidRPr="006A1F37" w:rsidRDefault="00F25B3A" w:rsidP="00292272">
            <w:pPr>
              <w:widowControl w:val="0"/>
              <w:autoSpaceDE w:val="0"/>
              <w:autoSpaceDN w:val="0"/>
              <w:adjustRightInd w:val="0"/>
              <w:spacing w:after="0"/>
              <w:jc w:val="center"/>
              <w:rPr>
                <w:sz w:val="22"/>
                <w:szCs w:val="22"/>
              </w:rPr>
            </w:pPr>
            <w:r w:rsidRPr="006A1F37">
              <w:rPr>
                <w:sz w:val="22"/>
                <w:szCs w:val="22"/>
              </w:rPr>
              <w:t>---</w:t>
            </w:r>
          </w:p>
        </w:tc>
      </w:tr>
      <w:tr w:rsidR="00292272" w:rsidRPr="006A1F37" w14:paraId="138AEAB5" w14:textId="77777777" w:rsidTr="006A1F37">
        <w:trPr>
          <w:trHeight w:val="268"/>
        </w:trPr>
        <w:tc>
          <w:tcPr>
            <w:tcW w:w="3761" w:type="dxa"/>
            <w:tcBorders>
              <w:top w:val="nil"/>
              <w:left w:val="nil"/>
              <w:bottom w:val="nil"/>
              <w:right w:val="nil"/>
            </w:tcBorders>
            <w:shd w:val="clear" w:color="auto" w:fill="F2F2F2" w:themeFill="background1" w:themeFillShade="F2"/>
          </w:tcPr>
          <w:p w14:paraId="6AE2E8ED" w14:textId="77777777" w:rsidR="00292272" w:rsidRPr="006A1F37" w:rsidRDefault="00292272" w:rsidP="00292272">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2F2F2" w:themeFill="background1" w:themeFillShade="F2"/>
          </w:tcPr>
          <w:p w14:paraId="1E0ECEB3" w14:textId="2023DA1D" w:rsidR="00292272" w:rsidRPr="006A1F37" w:rsidRDefault="00292272" w:rsidP="00292272">
            <w:pPr>
              <w:widowControl w:val="0"/>
              <w:autoSpaceDE w:val="0"/>
              <w:autoSpaceDN w:val="0"/>
              <w:adjustRightInd w:val="0"/>
              <w:spacing w:after="0"/>
              <w:jc w:val="center"/>
              <w:rPr>
                <w:sz w:val="22"/>
                <w:szCs w:val="22"/>
              </w:rPr>
            </w:pPr>
            <w:r w:rsidRPr="006A1F37">
              <w:rPr>
                <w:sz w:val="22"/>
                <w:szCs w:val="22"/>
              </w:rPr>
              <w:t>(0.04)</w:t>
            </w:r>
          </w:p>
        </w:tc>
        <w:tc>
          <w:tcPr>
            <w:tcW w:w="1839" w:type="dxa"/>
            <w:tcBorders>
              <w:top w:val="nil"/>
              <w:left w:val="nil"/>
              <w:bottom w:val="nil"/>
              <w:right w:val="nil"/>
            </w:tcBorders>
            <w:shd w:val="clear" w:color="auto" w:fill="F2F2F2" w:themeFill="background1" w:themeFillShade="F2"/>
          </w:tcPr>
          <w:p w14:paraId="391C7395" w14:textId="77777777" w:rsidR="00292272" w:rsidRPr="006A1F37" w:rsidRDefault="00292272" w:rsidP="00292272">
            <w:pPr>
              <w:widowControl w:val="0"/>
              <w:autoSpaceDE w:val="0"/>
              <w:autoSpaceDN w:val="0"/>
              <w:adjustRightInd w:val="0"/>
              <w:spacing w:after="0"/>
              <w:jc w:val="center"/>
              <w:rPr>
                <w:sz w:val="22"/>
                <w:szCs w:val="22"/>
              </w:rPr>
            </w:pPr>
          </w:p>
        </w:tc>
      </w:tr>
      <w:tr w:rsidR="003134DE" w:rsidRPr="006A1F37" w14:paraId="1C104BBC" w14:textId="77777777" w:rsidTr="006A1F37">
        <w:trPr>
          <w:trHeight w:val="247"/>
        </w:trPr>
        <w:tc>
          <w:tcPr>
            <w:tcW w:w="3761" w:type="dxa"/>
            <w:tcBorders>
              <w:top w:val="nil"/>
              <w:left w:val="nil"/>
              <w:bottom w:val="nil"/>
              <w:right w:val="nil"/>
            </w:tcBorders>
            <w:shd w:val="clear" w:color="auto" w:fill="FFFFFF" w:themeFill="background1"/>
          </w:tcPr>
          <w:p w14:paraId="6C17C61B" w14:textId="77777777" w:rsidR="003134DE" w:rsidRPr="006A1F37" w:rsidRDefault="003134DE" w:rsidP="0002756D">
            <w:pPr>
              <w:widowControl w:val="0"/>
              <w:autoSpaceDE w:val="0"/>
              <w:autoSpaceDN w:val="0"/>
              <w:adjustRightInd w:val="0"/>
              <w:spacing w:after="0"/>
              <w:contextualSpacing/>
              <w:rPr>
                <w:sz w:val="22"/>
                <w:szCs w:val="22"/>
              </w:rPr>
            </w:pPr>
            <w:r w:rsidRPr="006A1F37">
              <w:rPr>
                <w:sz w:val="22"/>
                <w:szCs w:val="22"/>
              </w:rPr>
              <w:t>Constant</w:t>
            </w:r>
          </w:p>
        </w:tc>
        <w:tc>
          <w:tcPr>
            <w:tcW w:w="2293" w:type="dxa"/>
            <w:tcBorders>
              <w:top w:val="nil"/>
              <w:left w:val="nil"/>
              <w:bottom w:val="nil"/>
              <w:right w:val="nil"/>
            </w:tcBorders>
            <w:shd w:val="clear" w:color="auto" w:fill="FFFFFF" w:themeFill="background1"/>
          </w:tcPr>
          <w:p w14:paraId="766AA76A" w14:textId="58D5926B" w:rsidR="003134DE" w:rsidRPr="006A1F37" w:rsidRDefault="00D10CEC" w:rsidP="0002756D">
            <w:pPr>
              <w:widowControl w:val="0"/>
              <w:autoSpaceDE w:val="0"/>
              <w:autoSpaceDN w:val="0"/>
              <w:adjustRightInd w:val="0"/>
              <w:spacing w:after="0"/>
              <w:jc w:val="center"/>
              <w:rPr>
                <w:sz w:val="22"/>
                <w:szCs w:val="22"/>
              </w:rPr>
            </w:pPr>
            <w:r w:rsidRPr="006A1F37">
              <w:rPr>
                <w:sz w:val="22"/>
                <w:szCs w:val="22"/>
              </w:rPr>
              <w:t>0.4</w:t>
            </w:r>
            <w:r w:rsidR="001B5C01">
              <w:rPr>
                <w:sz w:val="22"/>
                <w:szCs w:val="22"/>
              </w:rPr>
              <w:t>1</w:t>
            </w:r>
            <w:r w:rsidR="00292272" w:rsidRPr="006A1F37">
              <w:rPr>
                <w:sz w:val="22"/>
                <w:szCs w:val="22"/>
              </w:rPr>
              <w:t>**</w:t>
            </w:r>
          </w:p>
        </w:tc>
        <w:tc>
          <w:tcPr>
            <w:tcW w:w="1839" w:type="dxa"/>
            <w:tcBorders>
              <w:top w:val="nil"/>
              <w:left w:val="nil"/>
              <w:bottom w:val="nil"/>
              <w:right w:val="nil"/>
            </w:tcBorders>
            <w:shd w:val="clear" w:color="auto" w:fill="FFFFFF" w:themeFill="background1"/>
          </w:tcPr>
          <w:p w14:paraId="6717EDF2" w14:textId="3424BC70" w:rsidR="003134DE" w:rsidRPr="006A1F37" w:rsidRDefault="001B5C01">
            <w:pPr>
              <w:widowControl w:val="0"/>
              <w:autoSpaceDE w:val="0"/>
              <w:autoSpaceDN w:val="0"/>
              <w:adjustRightInd w:val="0"/>
              <w:spacing w:after="0"/>
              <w:jc w:val="center"/>
              <w:rPr>
                <w:sz w:val="22"/>
                <w:szCs w:val="22"/>
              </w:rPr>
            </w:pPr>
            <w:r>
              <w:rPr>
                <w:sz w:val="22"/>
                <w:szCs w:val="22"/>
              </w:rPr>
              <w:t>1.43</w:t>
            </w:r>
          </w:p>
        </w:tc>
      </w:tr>
      <w:tr w:rsidR="003134DE" w:rsidRPr="006A1F37" w14:paraId="55CFCE25" w14:textId="77777777" w:rsidTr="006A1F37">
        <w:trPr>
          <w:trHeight w:val="247"/>
        </w:trPr>
        <w:tc>
          <w:tcPr>
            <w:tcW w:w="3761" w:type="dxa"/>
            <w:tcBorders>
              <w:top w:val="nil"/>
              <w:left w:val="nil"/>
              <w:bottom w:val="nil"/>
              <w:right w:val="nil"/>
            </w:tcBorders>
            <w:shd w:val="clear" w:color="auto" w:fill="FFFFFF" w:themeFill="background1"/>
          </w:tcPr>
          <w:p w14:paraId="38363793" w14:textId="77777777" w:rsidR="003134DE" w:rsidRPr="006A1F37" w:rsidRDefault="003134DE" w:rsidP="0002756D">
            <w:pPr>
              <w:widowControl w:val="0"/>
              <w:autoSpaceDE w:val="0"/>
              <w:autoSpaceDN w:val="0"/>
              <w:adjustRightInd w:val="0"/>
              <w:spacing w:after="0"/>
              <w:contextualSpacing/>
              <w:rPr>
                <w:sz w:val="22"/>
                <w:szCs w:val="22"/>
              </w:rPr>
            </w:pPr>
          </w:p>
        </w:tc>
        <w:tc>
          <w:tcPr>
            <w:tcW w:w="2293" w:type="dxa"/>
            <w:tcBorders>
              <w:top w:val="nil"/>
              <w:left w:val="nil"/>
              <w:bottom w:val="nil"/>
              <w:right w:val="nil"/>
            </w:tcBorders>
            <w:shd w:val="clear" w:color="auto" w:fill="FFFFFF" w:themeFill="background1"/>
          </w:tcPr>
          <w:p w14:paraId="0F8D819B" w14:textId="0D444E91" w:rsidR="003134DE" w:rsidRPr="006A1F37" w:rsidRDefault="00204839" w:rsidP="0002756D">
            <w:pPr>
              <w:widowControl w:val="0"/>
              <w:autoSpaceDE w:val="0"/>
              <w:autoSpaceDN w:val="0"/>
              <w:adjustRightInd w:val="0"/>
              <w:spacing w:after="0"/>
              <w:jc w:val="center"/>
              <w:rPr>
                <w:sz w:val="22"/>
                <w:szCs w:val="22"/>
              </w:rPr>
            </w:pPr>
            <w:r w:rsidRPr="006A1F37">
              <w:rPr>
                <w:sz w:val="22"/>
                <w:szCs w:val="22"/>
              </w:rPr>
              <w:t>(0.06</w:t>
            </w:r>
            <w:r w:rsidR="00292272" w:rsidRPr="006A1F37">
              <w:rPr>
                <w:sz w:val="22"/>
                <w:szCs w:val="22"/>
              </w:rPr>
              <w:t>)</w:t>
            </w:r>
          </w:p>
        </w:tc>
        <w:tc>
          <w:tcPr>
            <w:tcW w:w="1839" w:type="dxa"/>
            <w:tcBorders>
              <w:top w:val="nil"/>
              <w:left w:val="nil"/>
              <w:bottom w:val="nil"/>
              <w:right w:val="nil"/>
            </w:tcBorders>
            <w:shd w:val="clear" w:color="auto" w:fill="FFFFFF" w:themeFill="background1"/>
          </w:tcPr>
          <w:p w14:paraId="12FED8CC" w14:textId="610DEE8C" w:rsidR="003134DE" w:rsidRPr="006A1F37" w:rsidRDefault="003134DE" w:rsidP="0002756D">
            <w:pPr>
              <w:widowControl w:val="0"/>
              <w:autoSpaceDE w:val="0"/>
              <w:autoSpaceDN w:val="0"/>
              <w:adjustRightInd w:val="0"/>
              <w:spacing w:after="0"/>
              <w:jc w:val="center"/>
              <w:rPr>
                <w:sz w:val="22"/>
                <w:szCs w:val="22"/>
              </w:rPr>
            </w:pPr>
            <w:r w:rsidRPr="006A1F37">
              <w:rPr>
                <w:sz w:val="22"/>
                <w:szCs w:val="22"/>
              </w:rPr>
              <w:t>(1.</w:t>
            </w:r>
            <w:r w:rsidR="001B5C01">
              <w:rPr>
                <w:sz w:val="22"/>
                <w:szCs w:val="22"/>
              </w:rPr>
              <w:t>12</w:t>
            </w:r>
            <w:r w:rsidRPr="006A1F37">
              <w:rPr>
                <w:sz w:val="22"/>
                <w:szCs w:val="22"/>
              </w:rPr>
              <w:t>)</w:t>
            </w:r>
          </w:p>
        </w:tc>
      </w:tr>
      <w:tr w:rsidR="00292272" w:rsidRPr="006A1F37" w14:paraId="24DFFACB" w14:textId="77777777" w:rsidTr="006A1F37">
        <w:trPr>
          <w:trHeight w:val="247"/>
        </w:trPr>
        <w:tc>
          <w:tcPr>
            <w:tcW w:w="3761" w:type="dxa"/>
            <w:tcBorders>
              <w:top w:val="nil"/>
              <w:left w:val="nil"/>
              <w:bottom w:val="nil"/>
              <w:right w:val="nil"/>
            </w:tcBorders>
            <w:shd w:val="clear" w:color="auto" w:fill="FFFFFF" w:themeFill="background1"/>
          </w:tcPr>
          <w:p w14:paraId="20E1D73D" w14:textId="55FD2E7D" w:rsidR="00292272" w:rsidRPr="006A1F37" w:rsidRDefault="00292272" w:rsidP="0002756D">
            <w:pPr>
              <w:widowControl w:val="0"/>
              <w:autoSpaceDE w:val="0"/>
              <w:autoSpaceDN w:val="0"/>
              <w:adjustRightInd w:val="0"/>
              <w:spacing w:after="0"/>
              <w:contextualSpacing/>
              <w:rPr>
                <w:i/>
                <w:sz w:val="22"/>
                <w:szCs w:val="22"/>
                <w:vertAlign w:val="superscript"/>
              </w:rPr>
            </w:pPr>
            <w:r w:rsidRPr="006A1F37">
              <w:rPr>
                <w:i/>
                <w:sz w:val="22"/>
                <w:szCs w:val="22"/>
              </w:rPr>
              <w:t>R</w:t>
            </w:r>
            <w:r w:rsidRPr="006A1F37">
              <w:rPr>
                <w:i/>
                <w:sz w:val="22"/>
                <w:szCs w:val="22"/>
                <w:vertAlign w:val="superscript"/>
              </w:rPr>
              <w:t>2</w:t>
            </w:r>
          </w:p>
        </w:tc>
        <w:tc>
          <w:tcPr>
            <w:tcW w:w="2293" w:type="dxa"/>
            <w:tcBorders>
              <w:top w:val="nil"/>
              <w:left w:val="nil"/>
              <w:bottom w:val="nil"/>
              <w:right w:val="nil"/>
            </w:tcBorders>
            <w:shd w:val="clear" w:color="auto" w:fill="FFFFFF" w:themeFill="background1"/>
          </w:tcPr>
          <w:p w14:paraId="130AF4BD" w14:textId="71695FA4" w:rsidR="00292272" w:rsidRPr="006A1F37" w:rsidRDefault="00D10CEC">
            <w:pPr>
              <w:widowControl w:val="0"/>
              <w:autoSpaceDE w:val="0"/>
              <w:autoSpaceDN w:val="0"/>
              <w:adjustRightInd w:val="0"/>
              <w:spacing w:after="0"/>
              <w:jc w:val="center"/>
              <w:rPr>
                <w:sz w:val="22"/>
                <w:szCs w:val="22"/>
              </w:rPr>
            </w:pPr>
            <w:r w:rsidRPr="006A1F37">
              <w:rPr>
                <w:sz w:val="22"/>
                <w:szCs w:val="22"/>
              </w:rPr>
              <w:t>0.6</w:t>
            </w:r>
            <w:r w:rsidR="001B5C01">
              <w:rPr>
                <w:sz w:val="22"/>
                <w:szCs w:val="22"/>
              </w:rPr>
              <w:t>3</w:t>
            </w:r>
          </w:p>
        </w:tc>
        <w:tc>
          <w:tcPr>
            <w:tcW w:w="1839" w:type="dxa"/>
            <w:tcBorders>
              <w:top w:val="nil"/>
              <w:left w:val="nil"/>
              <w:bottom w:val="nil"/>
              <w:right w:val="nil"/>
            </w:tcBorders>
            <w:shd w:val="clear" w:color="auto" w:fill="FFFFFF" w:themeFill="background1"/>
          </w:tcPr>
          <w:p w14:paraId="265BA544" w14:textId="77777777" w:rsidR="00292272" w:rsidRPr="006A1F37" w:rsidRDefault="00292272" w:rsidP="0002756D">
            <w:pPr>
              <w:widowControl w:val="0"/>
              <w:autoSpaceDE w:val="0"/>
              <w:autoSpaceDN w:val="0"/>
              <w:adjustRightInd w:val="0"/>
              <w:spacing w:after="0"/>
              <w:jc w:val="center"/>
              <w:rPr>
                <w:sz w:val="22"/>
                <w:szCs w:val="22"/>
              </w:rPr>
            </w:pPr>
          </w:p>
        </w:tc>
      </w:tr>
      <w:tr w:rsidR="003134DE" w:rsidRPr="006A1F37" w14:paraId="72DC5C57" w14:textId="77777777" w:rsidTr="006A1F37">
        <w:trPr>
          <w:trHeight w:val="268"/>
        </w:trPr>
        <w:tc>
          <w:tcPr>
            <w:tcW w:w="3761" w:type="dxa"/>
            <w:tcBorders>
              <w:top w:val="nil"/>
              <w:left w:val="nil"/>
              <w:bottom w:val="nil"/>
              <w:right w:val="nil"/>
            </w:tcBorders>
            <w:shd w:val="clear" w:color="auto" w:fill="auto"/>
          </w:tcPr>
          <w:p w14:paraId="20243896" w14:textId="77777777" w:rsidR="003134DE" w:rsidRPr="006A1F37" w:rsidRDefault="003134DE" w:rsidP="0002756D">
            <w:pPr>
              <w:widowControl w:val="0"/>
              <w:autoSpaceDE w:val="0"/>
              <w:autoSpaceDN w:val="0"/>
              <w:adjustRightInd w:val="0"/>
              <w:spacing w:after="0"/>
              <w:contextualSpacing/>
              <w:rPr>
                <w:sz w:val="22"/>
                <w:szCs w:val="22"/>
              </w:rPr>
            </w:pPr>
            <w:r w:rsidRPr="006A1F37">
              <w:rPr>
                <w:i/>
                <w:iCs/>
                <w:sz w:val="22"/>
                <w:szCs w:val="22"/>
              </w:rPr>
              <w:t>AIC</w:t>
            </w:r>
          </w:p>
        </w:tc>
        <w:tc>
          <w:tcPr>
            <w:tcW w:w="2293" w:type="dxa"/>
            <w:tcBorders>
              <w:top w:val="nil"/>
              <w:left w:val="nil"/>
              <w:bottom w:val="nil"/>
              <w:right w:val="nil"/>
            </w:tcBorders>
          </w:tcPr>
          <w:p w14:paraId="3C9771D8" w14:textId="77777777" w:rsidR="003134DE" w:rsidRPr="006A1F37" w:rsidRDefault="003134DE" w:rsidP="0002756D">
            <w:pPr>
              <w:widowControl w:val="0"/>
              <w:autoSpaceDE w:val="0"/>
              <w:autoSpaceDN w:val="0"/>
              <w:adjustRightInd w:val="0"/>
              <w:spacing w:after="0"/>
              <w:contextualSpacing/>
              <w:jc w:val="center"/>
              <w:rPr>
                <w:sz w:val="22"/>
                <w:szCs w:val="22"/>
              </w:rPr>
            </w:pPr>
          </w:p>
        </w:tc>
        <w:tc>
          <w:tcPr>
            <w:tcW w:w="1839" w:type="dxa"/>
            <w:tcBorders>
              <w:top w:val="nil"/>
              <w:left w:val="nil"/>
              <w:bottom w:val="nil"/>
              <w:right w:val="nil"/>
            </w:tcBorders>
            <w:shd w:val="clear" w:color="auto" w:fill="auto"/>
          </w:tcPr>
          <w:p w14:paraId="289B8F7C" w14:textId="16C84B95" w:rsidR="003134DE" w:rsidRPr="006A1F37" w:rsidRDefault="00F25B3A" w:rsidP="0002756D">
            <w:pPr>
              <w:widowControl w:val="0"/>
              <w:autoSpaceDE w:val="0"/>
              <w:autoSpaceDN w:val="0"/>
              <w:adjustRightInd w:val="0"/>
              <w:spacing w:after="0"/>
              <w:contextualSpacing/>
              <w:jc w:val="center"/>
              <w:rPr>
                <w:sz w:val="22"/>
                <w:szCs w:val="22"/>
              </w:rPr>
            </w:pPr>
            <w:r w:rsidRPr="006A1F37">
              <w:rPr>
                <w:sz w:val="22"/>
                <w:szCs w:val="22"/>
              </w:rPr>
              <w:t>3</w:t>
            </w:r>
            <w:r w:rsidR="001B5C01">
              <w:rPr>
                <w:sz w:val="22"/>
                <w:szCs w:val="22"/>
              </w:rPr>
              <w:t>23.90</w:t>
            </w:r>
          </w:p>
        </w:tc>
      </w:tr>
      <w:tr w:rsidR="003134DE" w:rsidRPr="006A1F37" w14:paraId="1EFE4E08" w14:textId="77777777" w:rsidTr="006A1F37">
        <w:trPr>
          <w:trHeight w:val="268"/>
        </w:trPr>
        <w:tc>
          <w:tcPr>
            <w:tcW w:w="3761" w:type="dxa"/>
            <w:tcBorders>
              <w:top w:val="nil"/>
              <w:left w:val="nil"/>
              <w:bottom w:val="nil"/>
              <w:right w:val="nil"/>
            </w:tcBorders>
            <w:shd w:val="clear" w:color="auto" w:fill="auto"/>
          </w:tcPr>
          <w:p w14:paraId="0ACF5CB6" w14:textId="77777777" w:rsidR="003134DE" w:rsidRPr="006A1F37" w:rsidRDefault="003134DE" w:rsidP="0002756D">
            <w:pPr>
              <w:widowControl w:val="0"/>
              <w:autoSpaceDE w:val="0"/>
              <w:autoSpaceDN w:val="0"/>
              <w:adjustRightInd w:val="0"/>
              <w:spacing w:after="0"/>
              <w:contextualSpacing/>
              <w:rPr>
                <w:i/>
                <w:iCs/>
                <w:sz w:val="22"/>
                <w:szCs w:val="22"/>
              </w:rPr>
            </w:pPr>
            <w:r w:rsidRPr="006A1F37">
              <w:rPr>
                <w:i/>
                <w:iCs/>
                <w:sz w:val="22"/>
                <w:szCs w:val="22"/>
              </w:rPr>
              <w:t>Percent Correct Predictions</w:t>
            </w:r>
            <w:r w:rsidRPr="006A1F37">
              <w:rPr>
                <w:rStyle w:val="FootnoteReference"/>
                <w:i/>
                <w:iCs/>
                <w:sz w:val="22"/>
                <w:szCs w:val="22"/>
              </w:rPr>
              <w:footnoteReference w:id="6"/>
            </w:r>
          </w:p>
        </w:tc>
        <w:tc>
          <w:tcPr>
            <w:tcW w:w="2293" w:type="dxa"/>
            <w:tcBorders>
              <w:top w:val="nil"/>
              <w:left w:val="nil"/>
              <w:bottom w:val="nil"/>
              <w:right w:val="nil"/>
            </w:tcBorders>
          </w:tcPr>
          <w:p w14:paraId="5F75CD07" w14:textId="77777777" w:rsidR="003134DE" w:rsidRPr="006A1F37" w:rsidRDefault="003134DE" w:rsidP="0002756D">
            <w:pPr>
              <w:widowControl w:val="0"/>
              <w:autoSpaceDE w:val="0"/>
              <w:autoSpaceDN w:val="0"/>
              <w:adjustRightInd w:val="0"/>
              <w:spacing w:after="0"/>
              <w:contextualSpacing/>
              <w:jc w:val="center"/>
              <w:rPr>
                <w:sz w:val="22"/>
                <w:szCs w:val="22"/>
              </w:rPr>
            </w:pPr>
          </w:p>
        </w:tc>
        <w:tc>
          <w:tcPr>
            <w:tcW w:w="1839" w:type="dxa"/>
            <w:tcBorders>
              <w:top w:val="nil"/>
              <w:left w:val="nil"/>
              <w:bottom w:val="nil"/>
              <w:right w:val="nil"/>
            </w:tcBorders>
            <w:shd w:val="clear" w:color="auto" w:fill="auto"/>
          </w:tcPr>
          <w:p w14:paraId="50246332" w14:textId="346E9B3C" w:rsidR="003134DE" w:rsidRPr="006A1F37" w:rsidRDefault="003134DE" w:rsidP="0002756D">
            <w:pPr>
              <w:widowControl w:val="0"/>
              <w:autoSpaceDE w:val="0"/>
              <w:autoSpaceDN w:val="0"/>
              <w:adjustRightInd w:val="0"/>
              <w:spacing w:after="0"/>
              <w:contextualSpacing/>
              <w:jc w:val="center"/>
              <w:rPr>
                <w:sz w:val="22"/>
                <w:szCs w:val="22"/>
              </w:rPr>
            </w:pPr>
            <w:r w:rsidRPr="006A1F37">
              <w:rPr>
                <w:sz w:val="22"/>
                <w:szCs w:val="22"/>
              </w:rPr>
              <w:t>9</w:t>
            </w:r>
            <w:r w:rsidR="00F25B3A" w:rsidRPr="006A1F37">
              <w:rPr>
                <w:sz w:val="22"/>
                <w:szCs w:val="22"/>
              </w:rPr>
              <w:t>4</w:t>
            </w:r>
            <w:r w:rsidRPr="006A1F37">
              <w:rPr>
                <w:sz w:val="22"/>
                <w:szCs w:val="22"/>
              </w:rPr>
              <w:t>.</w:t>
            </w:r>
            <w:r w:rsidR="001B5C01">
              <w:rPr>
                <w:sz w:val="22"/>
                <w:szCs w:val="22"/>
              </w:rPr>
              <w:t>22</w:t>
            </w:r>
          </w:p>
        </w:tc>
      </w:tr>
      <w:tr w:rsidR="003134DE" w:rsidRPr="006A1F37" w14:paraId="1DD07BFC" w14:textId="77777777" w:rsidTr="006A1F37">
        <w:trPr>
          <w:trHeight w:val="268"/>
        </w:trPr>
        <w:tc>
          <w:tcPr>
            <w:tcW w:w="3761" w:type="dxa"/>
            <w:tcBorders>
              <w:top w:val="nil"/>
              <w:left w:val="nil"/>
              <w:right w:val="nil"/>
            </w:tcBorders>
            <w:shd w:val="clear" w:color="auto" w:fill="auto"/>
          </w:tcPr>
          <w:p w14:paraId="1D044CB8" w14:textId="77777777" w:rsidR="003134DE" w:rsidRPr="006A1F37" w:rsidRDefault="003134DE" w:rsidP="0002756D">
            <w:pPr>
              <w:widowControl w:val="0"/>
              <w:autoSpaceDE w:val="0"/>
              <w:autoSpaceDN w:val="0"/>
              <w:adjustRightInd w:val="0"/>
              <w:spacing w:after="0"/>
              <w:contextualSpacing/>
              <w:rPr>
                <w:sz w:val="22"/>
                <w:szCs w:val="22"/>
              </w:rPr>
            </w:pPr>
            <w:r w:rsidRPr="006A1F37">
              <w:rPr>
                <w:i/>
                <w:iCs/>
                <w:sz w:val="22"/>
                <w:szCs w:val="22"/>
              </w:rPr>
              <w:t>N</w:t>
            </w:r>
          </w:p>
        </w:tc>
        <w:tc>
          <w:tcPr>
            <w:tcW w:w="2293" w:type="dxa"/>
            <w:tcBorders>
              <w:top w:val="nil"/>
              <w:left w:val="nil"/>
              <w:right w:val="nil"/>
            </w:tcBorders>
          </w:tcPr>
          <w:p w14:paraId="5FF4AF52" w14:textId="2F30889F" w:rsidR="003134DE" w:rsidRPr="006A1F37" w:rsidRDefault="004A24B6" w:rsidP="0002756D">
            <w:pPr>
              <w:widowControl w:val="0"/>
              <w:autoSpaceDE w:val="0"/>
              <w:autoSpaceDN w:val="0"/>
              <w:adjustRightInd w:val="0"/>
              <w:spacing w:after="0"/>
              <w:contextualSpacing/>
              <w:jc w:val="center"/>
              <w:rPr>
                <w:sz w:val="22"/>
                <w:szCs w:val="22"/>
              </w:rPr>
            </w:pPr>
            <w:r w:rsidRPr="006A1F37">
              <w:rPr>
                <w:sz w:val="22"/>
                <w:szCs w:val="22"/>
              </w:rPr>
              <w:t>1,013</w:t>
            </w:r>
          </w:p>
        </w:tc>
        <w:tc>
          <w:tcPr>
            <w:tcW w:w="1839" w:type="dxa"/>
            <w:tcBorders>
              <w:top w:val="nil"/>
              <w:left w:val="nil"/>
              <w:right w:val="nil"/>
            </w:tcBorders>
            <w:shd w:val="clear" w:color="auto" w:fill="auto"/>
          </w:tcPr>
          <w:p w14:paraId="48FFF115" w14:textId="70B929D4" w:rsidR="003134DE" w:rsidRPr="006A1F37" w:rsidRDefault="00F25B3A" w:rsidP="0002756D">
            <w:pPr>
              <w:widowControl w:val="0"/>
              <w:autoSpaceDE w:val="0"/>
              <w:autoSpaceDN w:val="0"/>
              <w:adjustRightInd w:val="0"/>
              <w:spacing w:after="0"/>
              <w:contextualSpacing/>
              <w:jc w:val="center"/>
              <w:rPr>
                <w:sz w:val="22"/>
                <w:szCs w:val="22"/>
              </w:rPr>
            </w:pPr>
            <w:r w:rsidRPr="006A1F37">
              <w:rPr>
                <w:sz w:val="22"/>
                <w:szCs w:val="22"/>
              </w:rPr>
              <w:t>90</w:t>
            </w:r>
            <w:r w:rsidR="001B5C01">
              <w:rPr>
                <w:sz w:val="22"/>
                <w:szCs w:val="22"/>
              </w:rPr>
              <w:t>0</w:t>
            </w:r>
          </w:p>
        </w:tc>
      </w:tr>
    </w:tbl>
    <w:p w14:paraId="623145B7" w14:textId="65CCC574" w:rsidR="003058B0" w:rsidRPr="006A1F37" w:rsidRDefault="003058B0" w:rsidP="003058B0">
      <w:pPr>
        <w:widowControl w:val="0"/>
        <w:autoSpaceDE w:val="0"/>
        <w:autoSpaceDN w:val="0"/>
        <w:adjustRightInd w:val="0"/>
        <w:spacing w:before="79" w:after="79"/>
        <w:contextualSpacing/>
        <w:rPr>
          <w:rFonts w:eastAsia="Times New Roman"/>
          <w:sz w:val="20"/>
          <w:szCs w:val="20"/>
        </w:rPr>
      </w:pPr>
      <w:r w:rsidRPr="006A1F37">
        <w:rPr>
          <w:rFonts w:eastAsia="Times New Roman"/>
          <w:i/>
          <w:sz w:val="20"/>
          <w:szCs w:val="20"/>
        </w:rPr>
        <w:t>Note.</w:t>
      </w:r>
      <w:r w:rsidRPr="006A1F37">
        <w:rPr>
          <w:rFonts w:eastAsia="Times New Roman"/>
          <w:sz w:val="20"/>
          <w:szCs w:val="20"/>
        </w:rPr>
        <w:t xml:space="preserve"> </w:t>
      </w:r>
      <w:r w:rsidR="00292272" w:rsidRPr="006A1F37">
        <w:rPr>
          <w:rFonts w:eastAsia="Times New Roman"/>
          <w:sz w:val="20"/>
          <w:szCs w:val="20"/>
        </w:rPr>
        <w:t xml:space="preserve">Model 1 entries are OLS regression coefficients and model 2 entries </w:t>
      </w:r>
      <w:r w:rsidRPr="006A1F37">
        <w:rPr>
          <w:rFonts w:eastAsia="Times New Roman"/>
          <w:sz w:val="20"/>
          <w:szCs w:val="20"/>
        </w:rPr>
        <w:t xml:space="preserve">are logistic regression coefficients, with standard errors in parentheses. </w:t>
      </w:r>
      <w:r w:rsidR="00292272" w:rsidRPr="006A1F37">
        <w:rPr>
          <w:rFonts w:eastAsia="Times New Roman"/>
          <w:sz w:val="20"/>
          <w:szCs w:val="20"/>
        </w:rPr>
        <w:t xml:space="preserve">Model 1 outcome is the difference between Obama and McCain evaluations in October 2008, coded such that strong preference for Obama is 1 and strong preference for McCain is 0. Model 2 </w:t>
      </w:r>
      <w:r w:rsidRPr="006A1F37">
        <w:rPr>
          <w:rFonts w:eastAsia="Times New Roman"/>
          <w:sz w:val="20"/>
          <w:szCs w:val="20"/>
        </w:rPr>
        <w:t xml:space="preserve">outcome is self-reported vote choice in November 2008, dichotomized such that a vote for Obama yields a value of 1 and a vote for McCain yields a value of 0. All continuous variables besides age were rescaled to run from 0 to 1, while age is naturally coded in years. </w:t>
      </w:r>
    </w:p>
    <w:p w14:paraId="174C6F26" w14:textId="77777777" w:rsidR="003058B0" w:rsidRPr="006A1F37" w:rsidRDefault="003058B0" w:rsidP="003058B0">
      <w:pPr>
        <w:widowControl w:val="0"/>
        <w:autoSpaceDE w:val="0"/>
        <w:autoSpaceDN w:val="0"/>
        <w:adjustRightInd w:val="0"/>
        <w:spacing w:before="79" w:after="79"/>
        <w:contextualSpacing/>
        <w:rPr>
          <w:sz w:val="20"/>
          <w:szCs w:val="20"/>
        </w:rPr>
      </w:pPr>
      <w:r w:rsidRPr="006A1F37">
        <w:rPr>
          <w:sz w:val="20"/>
          <w:szCs w:val="20"/>
        </w:rPr>
        <w:t>*</w:t>
      </w:r>
      <w:r w:rsidRPr="006A1F37">
        <w:rPr>
          <w:i/>
          <w:iCs/>
          <w:sz w:val="20"/>
          <w:szCs w:val="20"/>
        </w:rPr>
        <w:t xml:space="preserve"> p</w:t>
      </w:r>
      <w:r w:rsidRPr="006A1F37">
        <w:rPr>
          <w:sz w:val="20"/>
          <w:szCs w:val="20"/>
        </w:rPr>
        <w:t xml:space="preserve">&lt;0.05; ** </w:t>
      </w:r>
      <w:r w:rsidRPr="006A1F37">
        <w:rPr>
          <w:i/>
          <w:iCs/>
          <w:sz w:val="20"/>
          <w:szCs w:val="20"/>
        </w:rPr>
        <w:t>p</w:t>
      </w:r>
      <w:r w:rsidRPr="006A1F37">
        <w:rPr>
          <w:sz w:val="20"/>
          <w:szCs w:val="20"/>
        </w:rPr>
        <w:t>&lt;0.01</w:t>
      </w:r>
    </w:p>
    <w:bookmarkEnd w:id="4"/>
    <w:p w14:paraId="6A50CD55" w14:textId="77777777" w:rsidR="003058B0" w:rsidRPr="006A1F37" w:rsidRDefault="003058B0" w:rsidP="003058B0">
      <w:pPr>
        <w:rPr>
          <w:b/>
        </w:rPr>
      </w:pPr>
      <w:r w:rsidRPr="006A1F37">
        <w:rPr>
          <w:rFonts w:eastAsia="Times New Roman"/>
        </w:rPr>
        <w:br w:type="page"/>
      </w:r>
      <w:r w:rsidRPr="006A1F37">
        <w:rPr>
          <w:b/>
          <w:szCs w:val="22"/>
        </w:rPr>
        <w:lastRenderedPageBreak/>
        <w:t>Table 3: Correlations between Network Disagreement and Potential Confounds</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2607"/>
        <w:gridCol w:w="2607"/>
      </w:tblGrid>
      <w:tr w:rsidR="003058B0" w:rsidRPr="006A1F37" w14:paraId="6D4BA6E5" w14:textId="77777777" w:rsidTr="0002756D">
        <w:trPr>
          <w:trHeight w:val="387"/>
          <w:jc w:val="center"/>
        </w:trPr>
        <w:tc>
          <w:tcPr>
            <w:tcW w:w="2700" w:type="dxa"/>
            <w:tcBorders>
              <w:top w:val="nil"/>
              <w:left w:val="nil"/>
              <w:bottom w:val="single" w:sz="4" w:space="0" w:color="auto"/>
              <w:right w:val="nil"/>
            </w:tcBorders>
          </w:tcPr>
          <w:p w14:paraId="38E22F7D" w14:textId="77777777" w:rsidR="003058B0" w:rsidRPr="006A1F37" w:rsidRDefault="003058B0" w:rsidP="0002756D">
            <w:pPr>
              <w:jc w:val="center"/>
            </w:pPr>
          </w:p>
          <w:p w14:paraId="5844A0AE" w14:textId="77777777" w:rsidR="003058B0" w:rsidRPr="006A1F37" w:rsidRDefault="003058B0" w:rsidP="0002756D">
            <w:pPr>
              <w:jc w:val="center"/>
            </w:pPr>
          </w:p>
          <w:p w14:paraId="5BD51DFB" w14:textId="77777777" w:rsidR="003058B0" w:rsidRPr="006A1F37" w:rsidRDefault="003058B0" w:rsidP="0002756D">
            <w:pPr>
              <w:jc w:val="center"/>
              <w:rPr>
                <w:szCs w:val="22"/>
              </w:rPr>
            </w:pPr>
            <w:r w:rsidRPr="006A1F37">
              <w:t>Variable</w:t>
            </w:r>
          </w:p>
        </w:tc>
        <w:tc>
          <w:tcPr>
            <w:tcW w:w="2607" w:type="dxa"/>
            <w:tcBorders>
              <w:top w:val="nil"/>
              <w:left w:val="nil"/>
              <w:bottom w:val="single" w:sz="4" w:space="0" w:color="auto"/>
              <w:right w:val="nil"/>
            </w:tcBorders>
            <w:hideMark/>
          </w:tcPr>
          <w:p w14:paraId="19EC202B" w14:textId="77777777" w:rsidR="003058B0" w:rsidRPr="006A1F37" w:rsidRDefault="003058B0" w:rsidP="0002756D">
            <w:pPr>
              <w:jc w:val="center"/>
            </w:pPr>
            <w:r w:rsidRPr="006A1F37">
              <w:t>MN Panel</w:t>
            </w:r>
          </w:p>
          <w:p w14:paraId="129AE060" w14:textId="77777777" w:rsidR="003058B0" w:rsidRPr="006A1F37" w:rsidRDefault="003058B0" w:rsidP="0002756D">
            <w:pPr>
              <w:jc w:val="center"/>
              <w:rPr>
                <w:szCs w:val="22"/>
              </w:rPr>
            </w:pPr>
            <w:r w:rsidRPr="006A1F37">
              <w:t>Correlation with Network Disagreement</w:t>
            </w:r>
          </w:p>
        </w:tc>
        <w:tc>
          <w:tcPr>
            <w:tcW w:w="2607" w:type="dxa"/>
            <w:tcBorders>
              <w:top w:val="nil"/>
              <w:left w:val="nil"/>
              <w:bottom w:val="single" w:sz="4" w:space="0" w:color="auto"/>
              <w:right w:val="nil"/>
            </w:tcBorders>
            <w:hideMark/>
          </w:tcPr>
          <w:p w14:paraId="5A9E72AE" w14:textId="77777777" w:rsidR="003058B0" w:rsidRPr="006A1F37" w:rsidRDefault="003058B0" w:rsidP="0002756D">
            <w:pPr>
              <w:jc w:val="center"/>
            </w:pPr>
            <w:r w:rsidRPr="006A1F37">
              <w:t>ANES</w:t>
            </w:r>
          </w:p>
          <w:p w14:paraId="0BA252B5" w14:textId="77777777" w:rsidR="003058B0" w:rsidRPr="006A1F37" w:rsidRDefault="003058B0" w:rsidP="0002756D">
            <w:pPr>
              <w:jc w:val="center"/>
              <w:rPr>
                <w:szCs w:val="22"/>
              </w:rPr>
            </w:pPr>
            <w:r w:rsidRPr="006A1F37">
              <w:t>Correlation with Network Disagreement</w:t>
            </w:r>
          </w:p>
        </w:tc>
      </w:tr>
      <w:tr w:rsidR="003058B0" w:rsidRPr="006A1F37" w14:paraId="5985595B" w14:textId="77777777" w:rsidTr="0002756D">
        <w:trPr>
          <w:trHeight w:val="315"/>
          <w:jc w:val="center"/>
        </w:trPr>
        <w:tc>
          <w:tcPr>
            <w:tcW w:w="2700" w:type="dxa"/>
            <w:tcBorders>
              <w:top w:val="nil"/>
              <w:left w:val="nil"/>
              <w:bottom w:val="nil"/>
              <w:right w:val="nil"/>
            </w:tcBorders>
            <w:hideMark/>
          </w:tcPr>
          <w:p w14:paraId="0A4E816D" w14:textId="77777777" w:rsidR="003058B0" w:rsidRPr="006A1F37" w:rsidRDefault="003058B0" w:rsidP="0002756D">
            <w:pPr>
              <w:jc w:val="center"/>
              <w:rPr>
                <w:szCs w:val="22"/>
              </w:rPr>
            </w:pPr>
            <w:r w:rsidRPr="006A1F37">
              <w:t>Political Interest</w:t>
            </w:r>
          </w:p>
        </w:tc>
        <w:tc>
          <w:tcPr>
            <w:tcW w:w="2607" w:type="dxa"/>
            <w:tcBorders>
              <w:top w:val="nil"/>
              <w:left w:val="nil"/>
              <w:bottom w:val="nil"/>
              <w:right w:val="nil"/>
            </w:tcBorders>
            <w:hideMark/>
          </w:tcPr>
          <w:p w14:paraId="00C7EB2C" w14:textId="77777777" w:rsidR="003058B0" w:rsidRPr="006A1F37" w:rsidRDefault="003058B0" w:rsidP="0002756D">
            <w:pPr>
              <w:jc w:val="center"/>
              <w:rPr>
                <w:szCs w:val="22"/>
              </w:rPr>
            </w:pPr>
            <w:r w:rsidRPr="006A1F37">
              <w:t xml:space="preserve">                         0.01</w:t>
            </w:r>
          </w:p>
        </w:tc>
        <w:tc>
          <w:tcPr>
            <w:tcW w:w="2607" w:type="dxa"/>
            <w:tcBorders>
              <w:top w:val="nil"/>
              <w:left w:val="nil"/>
              <w:bottom w:val="nil"/>
              <w:right w:val="nil"/>
            </w:tcBorders>
            <w:hideMark/>
          </w:tcPr>
          <w:p w14:paraId="1095AFC9" w14:textId="77777777" w:rsidR="003058B0" w:rsidRPr="006A1F37" w:rsidRDefault="003058B0" w:rsidP="0002756D">
            <w:pPr>
              <w:jc w:val="right"/>
              <w:rPr>
                <w:szCs w:val="22"/>
              </w:rPr>
            </w:pPr>
            <w:r w:rsidRPr="006A1F37">
              <w:t>-0.08**</w:t>
            </w:r>
          </w:p>
        </w:tc>
      </w:tr>
      <w:tr w:rsidR="003058B0" w:rsidRPr="006A1F37" w14:paraId="0ACE9C87" w14:textId="77777777" w:rsidTr="0002756D">
        <w:trPr>
          <w:trHeight w:val="315"/>
          <w:jc w:val="center"/>
        </w:trPr>
        <w:tc>
          <w:tcPr>
            <w:tcW w:w="2700" w:type="dxa"/>
            <w:tcBorders>
              <w:top w:val="nil"/>
              <w:left w:val="nil"/>
              <w:bottom w:val="nil"/>
              <w:right w:val="nil"/>
            </w:tcBorders>
            <w:shd w:val="clear" w:color="auto" w:fill="F2F2F2" w:themeFill="background1" w:themeFillShade="F2"/>
            <w:hideMark/>
          </w:tcPr>
          <w:p w14:paraId="6BC1EB42" w14:textId="77777777" w:rsidR="003058B0" w:rsidRPr="006A1F37" w:rsidRDefault="003058B0" w:rsidP="0002756D">
            <w:pPr>
              <w:jc w:val="center"/>
              <w:rPr>
                <w:szCs w:val="22"/>
              </w:rPr>
            </w:pPr>
            <w:r w:rsidRPr="006A1F37">
              <w:t>Political Knowledge</w:t>
            </w:r>
          </w:p>
        </w:tc>
        <w:tc>
          <w:tcPr>
            <w:tcW w:w="2607" w:type="dxa"/>
            <w:tcBorders>
              <w:top w:val="nil"/>
              <w:left w:val="nil"/>
              <w:bottom w:val="nil"/>
              <w:right w:val="nil"/>
            </w:tcBorders>
            <w:shd w:val="clear" w:color="auto" w:fill="F2F2F2" w:themeFill="background1" w:themeFillShade="F2"/>
            <w:hideMark/>
          </w:tcPr>
          <w:p w14:paraId="096B3A6A" w14:textId="77777777" w:rsidR="003058B0" w:rsidRPr="006A1F37" w:rsidRDefault="003058B0" w:rsidP="0002756D">
            <w:pPr>
              <w:jc w:val="center"/>
              <w:rPr>
                <w:szCs w:val="22"/>
              </w:rPr>
            </w:pPr>
            <w:r w:rsidRPr="006A1F37">
              <w:t xml:space="preserve">                           0.06*</w:t>
            </w:r>
          </w:p>
        </w:tc>
        <w:tc>
          <w:tcPr>
            <w:tcW w:w="2607" w:type="dxa"/>
            <w:tcBorders>
              <w:top w:val="nil"/>
              <w:left w:val="nil"/>
              <w:bottom w:val="nil"/>
              <w:right w:val="nil"/>
            </w:tcBorders>
            <w:shd w:val="clear" w:color="auto" w:fill="F2F2F2" w:themeFill="background1" w:themeFillShade="F2"/>
            <w:hideMark/>
          </w:tcPr>
          <w:p w14:paraId="71ACBCA9" w14:textId="77777777" w:rsidR="003058B0" w:rsidRPr="006A1F37" w:rsidRDefault="003058B0" w:rsidP="0002756D">
            <w:pPr>
              <w:jc w:val="right"/>
              <w:rPr>
                <w:szCs w:val="22"/>
              </w:rPr>
            </w:pPr>
            <w:r w:rsidRPr="006A1F37">
              <w:t>0.06**</w:t>
            </w:r>
          </w:p>
        </w:tc>
      </w:tr>
      <w:tr w:rsidR="003058B0" w:rsidRPr="006A1F37" w14:paraId="23B14BE3" w14:textId="77777777" w:rsidTr="0002756D">
        <w:trPr>
          <w:trHeight w:val="315"/>
          <w:jc w:val="center"/>
        </w:trPr>
        <w:tc>
          <w:tcPr>
            <w:tcW w:w="2700" w:type="dxa"/>
            <w:tcBorders>
              <w:top w:val="nil"/>
              <w:left w:val="nil"/>
              <w:bottom w:val="nil"/>
              <w:right w:val="nil"/>
            </w:tcBorders>
            <w:hideMark/>
          </w:tcPr>
          <w:p w14:paraId="3357A7B5" w14:textId="77777777" w:rsidR="003058B0" w:rsidRPr="006A1F37" w:rsidRDefault="003058B0" w:rsidP="0002756D">
            <w:pPr>
              <w:jc w:val="center"/>
              <w:rPr>
                <w:szCs w:val="22"/>
              </w:rPr>
            </w:pPr>
            <w:r w:rsidRPr="006A1F37">
              <w:t>Partisan Extremity</w:t>
            </w:r>
          </w:p>
        </w:tc>
        <w:tc>
          <w:tcPr>
            <w:tcW w:w="2607" w:type="dxa"/>
            <w:tcBorders>
              <w:top w:val="nil"/>
              <w:left w:val="nil"/>
              <w:bottom w:val="nil"/>
              <w:right w:val="nil"/>
            </w:tcBorders>
            <w:hideMark/>
          </w:tcPr>
          <w:p w14:paraId="44C99B3A" w14:textId="77777777" w:rsidR="003058B0" w:rsidRPr="006A1F37" w:rsidRDefault="003058B0" w:rsidP="0002756D">
            <w:pPr>
              <w:jc w:val="right"/>
              <w:rPr>
                <w:szCs w:val="22"/>
              </w:rPr>
            </w:pPr>
            <w:r w:rsidRPr="006A1F37">
              <w:t>-0.16**</w:t>
            </w:r>
          </w:p>
        </w:tc>
        <w:tc>
          <w:tcPr>
            <w:tcW w:w="2607" w:type="dxa"/>
            <w:tcBorders>
              <w:top w:val="nil"/>
              <w:left w:val="nil"/>
              <w:bottom w:val="nil"/>
              <w:right w:val="nil"/>
            </w:tcBorders>
            <w:hideMark/>
          </w:tcPr>
          <w:p w14:paraId="0554DD0F" w14:textId="3813C827" w:rsidR="003058B0" w:rsidRPr="006A1F37" w:rsidRDefault="003058B0" w:rsidP="0002756D">
            <w:pPr>
              <w:jc w:val="right"/>
              <w:rPr>
                <w:szCs w:val="22"/>
              </w:rPr>
            </w:pPr>
            <w:r w:rsidRPr="006A1F37">
              <w:t>-0.2</w:t>
            </w:r>
            <w:r w:rsidR="00C279FF" w:rsidRPr="006A1F37">
              <w:t>2</w:t>
            </w:r>
            <w:r w:rsidRPr="006A1F37">
              <w:t>**</w:t>
            </w:r>
          </w:p>
        </w:tc>
      </w:tr>
      <w:tr w:rsidR="003058B0" w:rsidRPr="006A1F37" w14:paraId="4315C7C8" w14:textId="77777777" w:rsidTr="0002756D">
        <w:trPr>
          <w:trHeight w:val="315"/>
          <w:jc w:val="center"/>
        </w:trPr>
        <w:tc>
          <w:tcPr>
            <w:tcW w:w="2700" w:type="dxa"/>
            <w:tcBorders>
              <w:top w:val="nil"/>
              <w:left w:val="nil"/>
              <w:bottom w:val="nil"/>
              <w:right w:val="nil"/>
            </w:tcBorders>
            <w:shd w:val="clear" w:color="auto" w:fill="F2F2F2" w:themeFill="background1" w:themeFillShade="F2"/>
            <w:hideMark/>
          </w:tcPr>
          <w:p w14:paraId="63B90939" w14:textId="77777777" w:rsidR="003058B0" w:rsidRPr="006A1F37" w:rsidRDefault="003058B0" w:rsidP="0002756D">
            <w:pPr>
              <w:jc w:val="center"/>
              <w:rPr>
                <w:szCs w:val="22"/>
              </w:rPr>
            </w:pPr>
            <w:r w:rsidRPr="006A1F37">
              <w:t xml:space="preserve">Policy Extremity </w:t>
            </w:r>
          </w:p>
        </w:tc>
        <w:tc>
          <w:tcPr>
            <w:tcW w:w="2607" w:type="dxa"/>
            <w:tcBorders>
              <w:top w:val="nil"/>
              <w:left w:val="nil"/>
              <w:bottom w:val="nil"/>
              <w:right w:val="nil"/>
            </w:tcBorders>
            <w:shd w:val="clear" w:color="auto" w:fill="F2F2F2" w:themeFill="background1" w:themeFillShade="F2"/>
            <w:hideMark/>
          </w:tcPr>
          <w:p w14:paraId="4CA3ADAB" w14:textId="77777777" w:rsidR="003058B0" w:rsidRPr="006A1F37" w:rsidRDefault="003058B0" w:rsidP="0002756D">
            <w:pPr>
              <w:jc w:val="right"/>
              <w:rPr>
                <w:szCs w:val="22"/>
              </w:rPr>
            </w:pPr>
            <w:r w:rsidRPr="006A1F37">
              <w:t>-0.09**</w:t>
            </w:r>
          </w:p>
        </w:tc>
        <w:tc>
          <w:tcPr>
            <w:tcW w:w="2607" w:type="dxa"/>
            <w:tcBorders>
              <w:top w:val="nil"/>
              <w:left w:val="nil"/>
              <w:bottom w:val="nil"/>
              <w:right w:val="nil"/>
            </w:tcBorders>
            <w:shd w:val="clear" w:color="auto" w:fill="F2F2F2" w:themeFill="background1" w:themeFillShade="F2"/>
            <w:hideMark/>
          </w:tcPr>
          <w:p w14:paraId="3E4A4A6B" w14:textId="1BCE341C" w:rsidR="003058B0" w:rsidRPr="006A1F37" w:rsidRDefault="003058B0" w:rsidP="0002756D">
            <w:pPr>
              <w:jc w:val="right"/>
              <w:rPr>
                <w:szCs w:val="22"/>
              </w:rPr>
            </w:pPr>
            <w:r w:rsidRPr="006A1F37">
              <w:t>-0.</w:t>
            </w:r>
            <w:r w:rsidR="007A0F98">
              <w:t>10</w:t>
            </w:r>
            <w:r w:rsidRPr="006A1F37">
              <w:t>**</w:t>
            </w:r>
          </w:p>
        </w:tc>
      </w:tr>
      <w:tr w:rsidR="003058B0" w:rsidRPr="006A1F37" w14:paraId="38C19F6A" w14:textId="77777777" w:rsidTr="0002756D">
        <w:trPr>
          <w:trHeight w:val="315"/>
          <w:jc w:val="center"/>
        </w:trPr>
        <w:tc>
          <w:tcPr>
            <w:tcW w:w="2700" w:type="dxa"/>
            <w:tcBorders>
              <w:top w:val="nil"/>
              <w:left w:val="nil"/>
              <w:bottom w:val="single" w:sz="4" w:space="0" w:color="auto"/>
              <w:right w:val="nil"/>
            </w:tcBorders>
            <w:hideMark/>
          </w:tcPr>
          <w:p w14:paraId="359E267D" w14:textId="77777777" w:rsidR="003058B0" w:rsidRPr="006A1F37" w:rsidRDefault="003058B0" w:rsidP="0002756D">
            <w:pPr>
              <w:jc w:val="center"/>
              <w:rPr>
                <w:szCs w:val="22"/>
              </w:rPr>
            </w:pPr>
            <w:r w:rsidRPr="006A1F37">
              <w:t>Education</w:t>
            </w:r>
          </w:p>
        </w:tc>
        <w:tc>
          <w:tcPr>
            <w:tcW w:w="2607" w:type="dxa"/>
            <w:tcBorders>
              <w:top w:val="nil"/>
              <w:left w:val="nil"/>
              <w:bottom w:val="single" w:sz="4" w:space="0" w:color="auto"/>
              <w:right w:val="nil"/>
            </w:tcBorders>
            <w:hideMark/>
          </w:tcPr>
          <w:p w14:paraId="0F37534B" w14:textId="77777777" w:rsidR="003058B0" w:rsidRPr="006A1F37" w:rsidRDefault="003058B0" w:rsidP="0002756D">
            <w:pPr>
              <w:jc w:val="center"/>
              <w:rPr>
                <w:szCs w:val="22"/>
              </w:rPr>
            </w:pPr>
            <w:r w:rsidRPr="006A1F37">
              <w:t xml:space="preserve">                         0.02</w:t>
            </w:r>
          </w:p>
        </w:tc>
        <w:tc>
          <w:tcPr>
            <w:tcW w:w="2607" w:type="dxa"/>
            <w:tcBorders>
              <w:top w:val="nil"/>
              <w:left w:val="nil"/>
              <w:bottom w:val="single" w:sz="4" w:space="0" w:color="auto"/>
              <w:right w:val="nil"/>
            </w:tcBorders>
            <w:hideMark/>
          </w:tcPr>
          <w:p w14:paraId="58831B78" w14:textId="77777777" w:rsidR="003058B0" w:rsidRPr="006A1F37" w:rsidRDefault="003058B0" w:rsidP="0002756D">
            <w:pPr>
              <w:jc w:val="center"/>
              <w:rPr>
                <w:szCs w:val="22"/>
              </w:rPr>
            </w:pPr>
            <w:r w:rsidRPr="006A1F37">
              <w:t xml:space="preserve">                         0.01</w:t>
            </w:r>
          </w:p>
        </w:tc>
      </w:tr>
    </w:tbl>
    <w:p w14:paraId="770D70A8" w14:textId="77777777" w:rsidR="003058B0" w:rsidRPr="006A1F37" w:rsidRDefault="003058B0" w:rsidP="003058B0">
      <w:pPr>
        <w:widowControl w:val="0"/>
        <w:autoSpaceDE w:val="0"/>
        <w:autoSpaceDN w:val="0"/>
        <w:adjustRightInd w:val="0"/>
        <w:spacing w:before="79" w:after="79"/>
        <w:ind w:firstLine="720"/>
        <w:contextualSpacing/>
        <w:rPr>
          <w:sz w:val="20"/>
          <w:szCs w:val="20"/>
        </w:rPr>
      </w:pPr>
      <w:r w:rsidRPr="006A1F37">
        <w:rPr>
          <w:rFonts w:eastAsia="Times New Roman"/>
          <w:i/>
          <w:sz w:val="20"/>
          <w:szCs w:val="20"/>
        </w:rPr>
        <w:t>Note.</w:t>
      </w:r>
      <w:r w:rsidRPr="006A1F37">
        <w:rPr>
          <w:rFonts w:eastAsia="Times New Roman"/>
          <w:sz w:val="20"/>
          <w:szCs w:val="20"/>
        </w:rPr>
        <w:t xml:space="preserve">  Entries are Pearson correlation coefficients. </w:t>
      </w:r>
      <w:r w:rsidRPr="006A1F37">
        <w:rPr>
          <w:sz w:val="20"/>
          <w:szCs w:val="20"/>
        </w:rPr>
        <w:t>*</w:t>
      </w:r>
      <w:r w:rsidRPr="006A1F37">
        <w:rPr>
          <w:i/>
          <w:iCs/>
          <w:sz w:val="20"/>
          <w:szCs w:val="20"/>
        </w:rPr>
        <w:t xml:space="preserve"> p</w:t>
      </w:r>
      <w:r w:rsidRPr="006A1F37">
        <w:rPr>
          <w:sz w:val="20"/>
          <w:szCs w:val="20"/>
        </w:rPr>
        <w:t xml:space="preserve">&lt;0.05; ** </w:t>
      </w:r>
      <w:r w:rsidRPr="006A1F37">
        <w:rPr>
          <w:i/>
          <w:iCs/>
          <w:sz w:val="20"/>
          <w:szCs w:val="20"/>
        </w:rPr>
        <w:t>p</w:t>
      </w:r>
      <w:r w:rsidRPr="006A1F37">
        <w:rPr>
          <w:sz w:val="20"/>
          <w:szCs w:val="20"/>
        </w:rPr>
        <w:t>&lt;0.01</w:t>
      </w:r>
    </w:p>
    <w:p w14:paraId="59A7E45A" w14:textId="77777777" w:rsidR="003058B0" w:rsidRPr="006A1F37" w:rsidRDefault="003058B0" w:rsidP="003058B0">
      <w:pPr>
        <w:rPr>
          <w:b/>
        </w:rPr>
      </w:pPr>
    </w:p>
    <w:p w14:paraId="2B1C99C2" w14:textId="77777777" w:rsidR="008D7010" w:rsidRDefault="008D7010" w:rsidP="008D7010">
      <w:pPr>
        <w:sectPr w:rsidR="008D7010" w:rsidSect="0002756D">
          <w:footnotePr>
            <w:numRestart w:val="eachSect"/>
          </w:footnotePr>
          <w:pgSz w:w="12240" w:h="15840"/>
          <w:pgMar w:top="1440" w:right="1440" w:bottom="1440" w:left="1440" w:header="720" w:footer="720" w:gutter="0"/>
          <w:cols w:space="720"/>
          <w:titlePg/>
          <w:docGrid w:linePitch="360"/>
        </w:sectPr>
      </w:pPr>
    </w:p>
    <w:p w14:paraId="01C55A27" w14:textId="774298EF" w:rsidR="008D7010" w:rsidRPr="006A1F37" w:rsidRDefault="008D7010" w:rsidP="00701463">
      <w:pPr>
        <w:spacing w:after="160" w:line="259" w:lineRule="auto"/>
        <w:rPr>
          <w:rFonts w:eastAsia="Times New Roman"/>
          <w:noProof/>
        </w:rPr>
      </w:pPr>
      <w:r w:rsidRPr="006A1F37">
        <w:rPr>
          <w:rFonts w:eastAsia="Times New Roman"/>
          <w:b/>
        </w:rPr>
        <w:lastRenderedPageBreak/>
        <w:t xml:space="preserve">Figure </w:t>
      </w:r>
      <w:r w:rsidR="00BD31AF">
        <w:rPr>
          <w:rFonts w:eastAsia="Times New Roman"/>
          <w:b/>
        </w:rPr>
        <w:t>1</w:t>
      </w:r>
      <w:r w:rsidRPr="006A1F37">
        <w:rPr>
          <w:rFonts w:eastAsia="Times New Roman"/>
          <w:b/>
        </w:rPr>
        <w:t>: Obama feeling thermometer advantage as a function of party identification and policy preferences (MN Panel)</w:t>
      </w:r>
    </w:p>
    <w:p w14:paraId="0B204E6E" w14:textId="77777777" w:rsidR="008D7010" w:rsidRPr="006A1F37" w:rsidRDefault="008D7010" w:rsidP="008D7010">
      <w:pPr>
        <w:rPr>
          <w:noProof/>
        </w:rPr>
      </w:pPr>
      <w:r w:rsidRPr="006A1F37">
        <w:rPr>
          <w:noProof/>
        </w:rPr>
        <w:drawing>
          <wp:inline distT="0" distB="0" distL="0" distR="0" wp14:anchorId="5CE2F274" wp14:editId="0AFB5552">
            <wp:extent cx="6666608" cy="4846320"/>
            <wp:effectExtent l="0" t="0" r="1270" b="0"/>
            <wp:docPr id="1" name="Picture 1" descr="\\files.umn.edu\CLA\Home\smit7193\My Documents\mnp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umn.edu\CLA\Home\smit7193\My Documents\mnpf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6608" cy="4846320"/>
                    </a:xfrm>
                    <a:prstGeom prst="rect">
                      <a:avLst/>
                    </a:prstGeom>
                    <a:noFill/>
                    <a:ln>
                      <a:noFill/>
                    </a:ln>
                  </pic:spPr>
                </pic:pic>
              </a:graphicData>
            </a:graphic>
          </wp:inline>
        </w:drawing>
      </w:r>
    </w:p>
    <w:p w14:paraId="716D97A5" w14:textId="790E06A2" w:rsidR="008D7010" w:rsidRPr="006A1F37" w:rsidRDefault="008D7010" w:rsidP="008D7010">
      <w:pPr>
        <w:widowControl w:val="0"/>
        <w:autoSpaceDE w:val="0"/>
        <w:autoSpaceDN w:val="0"/>
        <w:adjustRightInd w:val="0"/>
        <w:spacing w:before="79" w:after="79"/>
        <w:contextualSpacing/>
        <w:rPr>
          <w:rFonts w:eastAsia="Times New Roman"/>
          <w:sz w:val="20"/>
          <w:szCs w:val="20"/>
        </w:rPr>
      </w:pPr>
      <w:r w:rsidRPr="006A1F37">
        <w:rPr>
          <w:rFonts w:eastAsia="Times New Roman"/>
          <w:i/>
          <w:sz w:val="20"/>
          <w:szCs w:val="20"/>
        </w:rPr>
        <w:t>Note.</w:t>
      </w:r>
      <w:r w:rsidRPr="006A1F37">
        <w:rPr>
          <w:rFonts w:eastAsia="Times New Roman"/>
          <w:sz w:val="20"/>
          <w:szCs w:val="20"/>
        </w:rPr>
        <w:t xml:space="preserve">  Data from the 2012 MN Panel, presenting predicted values as a function of 1) party identification and 2) policy preferences among respondents at 1 SD </w:t>
      </w:r>
      <w:r w:rsidR="00C017B8">
        <w:rPr>
          <w:rFonts w:eastAsia="Times New Roman"/>
          <w:sz w:val="20"/>
          <w:szCs w:val="20"/>
        </w:rPr>
        <w:t>below</w:t>
      </w:r>
      <w:r w:rsidRPr="006A1F37">
        <w:rPr>
          <w:rFonts w:eastAsia="Times New Roman"/>
          <w:sz w:val="20"/>
          <w:szCs w:val="20"/>
        </w:rPr>
        <w:t xml:space="preserve"> and </w:t>
      </w:r>
      <w:r w:rsidR="00C017B8">
        <w:rPr>
          <w:rFonts w:eastAsia="Times New Roman"/>
          <w:sz w:val="20"/>
          <w:szCs w:val="20"/>
        </w:rPr>
        <w:t>above</w:t>
      </w:r>
      <w:r w:rsidRPr="006A1F37">
        <w:rPr>
          <w:rFonts w:eastAsia="Times New Roman"/>
          <w:sz w:val="20"/>
          <w:szCs w:val="20"/>
        </w:rPr>
        <w:t xml:space="preserve"> the mean of network disagreement (.33 and .75). The outcome is the difference between respondents’ feeling thermometer ratings of the two major party candidates, with higher values indicating more positive evaluations of Obama relative to Romney. Presented with 95% Confidence Intervals. All controls are held at their means, except gender, race, and education, which are held at their medians. </w:t>
      </w:r>
    </w:p>
    <w:p w14:paraId="76DAFA50" w14:textId="23991BB3" w:rsidR="008D7010" w:rsidRPr="006A1F37" w:rsidRDefault="008D7010" w:rsidP="008D7010">
      <w:pPr>
        <w:rPr>
          <w:rFonts w:eastAsia="Times New Roman"/>
          <w:b/>
        </w:rPr>
      </w:pPr>
      <w:r w:rsidRPr="006A1F37">
        <w:rPr>
          <w:rFonts w:eastAsia="Times New Roman"/>
        </w:rPr>
        <w:br w:type="page"/>
      </w:r>
      <w:r w:rsidRPr="006A1F37">
        <w:rPr>
          <w:rFonts w:eastAsia="Times New Roman"/>
          <w:b/>
        </w:rPr>
        <w:lastRenderedPageBreak/>
        <w:t xml:space="preserve">Figure </w:t>
      </w:r>
      <w:r w:rsidR="00BD31AF">
        <w:rPr>
          <w:rFonts w:eastAsia="Times New Roman"/>
          <w:b/>
        </w:rPr>
        <w:t>2</w:t>
      </w:r>
      <w:r w:rsidRPr="006A1F37">
        <w:rPr>
          <w:rFonts w:eastAsia="Times New Roman"/>
          <w:b/>
        </w:rPr>
        <w:t>: Candidate evaluations and vote choice as a function of party identification (ANES)</w:t>
      </w:r>
      <w:r w:rsidR="005F30EC">
        <w:rPr>
          <w:rFonts w:eastAsia="Times New Roman"/>
          <w:b/>
          <w:noProof/>
        </w:rPr>
        <w:drawing>
          <wp:inline distT="0" distB="0" distL="0" distR="0" wp14:anchorId="0747DEA6" wp14:editId="337E83F8">
            <wp:extent cx="6667500" cy="4857750"/>
            <wp:effectExtent l="0" t="0" r="0" b="0"/>
            <wp:docPr id="2" name="Picture 1" descr="ane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s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4857750"/>
                    </a:xfrm>
                    <a:prstGeom prst="rect">
                      <a:avLst/>
                    </a:prstGeom>
                    <a:noFill/>
                    <a:ln>
                      <a:noFill/>
                    </a:ln>
                  </pic:spPr>
                </pic:pic>
              </a:graphicData>
            </a:graphic>
          </wp:inline>
        </w:drawing>
      </w:r>
    </w:p>
    <w:p w14:paraId="3068AD76" w14:textId="35CFD1B2" w:rsidR="001C6601" w:rsidRPr="00C017B8" w:rsidRDefault="008D7010" w:rsidP="00C017B8">
      <w:pPr>
        <w:widowControl w:val="0"/>
        <w:autoSpaceDE w:val="0"/>
        <w:autoSpaceDN w:val="0"/>
        <w:adjustRightInd w:val="0"/>
        <w:spacing w:before="79" w:after="79"/>
        <w:contextualSpacing/>
        <w:rPr>
          <w:rFonts w:eastAsia="Times New Roman"/>
          <w:sz w:val="20"/>
          <w:szCs w:val="20"/>
        </w:rPr>
      </w:pPr>
      <w:r w:rsidRPr="006A1F37">
        <w:rPr>
          <w:rFonts w:eastAsia="Times New Roman"/>
          <w:i/>
          <w:sz w:val="20"/>
          <w:szCs w:val="20"/>
        </w:rPr>
        <w:t>Note.</w:t>
      </w:r>
      <w:r w:rsidRPr="006A1F37">
        <w:rPr>
          <w:rFonts w:eastAsia="Times New Roman"/>
          <w:sz w:val="20"/>
          <w:szCs w:val="20"/>
        </w:rPr>
        <w:t xml:space="preserve">  Data from the 2008 ANES presenting predicted probabilities as a function of </w:t>
      </w:r>
      <w:r w:rsidR="00515DE5" w:rsidRPr="006A1F37">
        <w:rPr>
          <w:rFonts w:eastAsia="Times New Roman"/>
          <w:sz w:val="20"/>
          <w:szCs w:val="20"/>
        </w:rPr>
        <w:t xml:space="preserve">1) party identification and 2) policy preferences </w:t>
      </w:r>
      <w:r w:rsidRPr="006A1F37">
        <w:rPr>
          <w:rFonts w:eastAsia="Times New Roman"/>
          <w:sz w:val="20"/>
          <w:szCs w:val="20"/>
        </w:rPr>
        <w:t xml:space="preserve">among respondents at 1 SD </w:t>
      </w:r>
      <w:r w:rsidR="00C017B8">
        <w:rPr>
          <w:rFonts w:eastAsia="Times New Roman"/>
          <w:sz w:val="20"/>
          <w:szCs w:val="20"/>
        </w:rPr>
        <w:t>below</w:t>
      </w:r>
      <w:r w:rsidRPr="006A1F37">
        <w:rPr>
          <w:rFonts w:eastAsia="Times New Roman"/>
          <w:sz w:val="20"/>
          <w:szCs w:val="20"/>
        </w:rPr>
        <w:t xml:space="preserve"> and </w:t>
      </w:r>
      <w:r w:rsidR="00C017B8">
        <w:rPr>
          <w:rFonts w:eastAsia="Times New Roman"/>
          <w:sz w:val="20"/>
          <w:szCs w:val="20"/>
        </w:rPr>
        <w:t>above</w:t>
      </w:r>
      <w:r w:rsidRPr="006A1F37">
        <w:rPr>
          <w:rFonts w:eastAsia="Times New Roman"/>
          <w:sz w:val="20"/>
          <w:szCs w:val="20"/>
        </w:rPr>
        <w:t xml:space="preserve"> the mean of network disagreement (.11 and .51). Outcome 1 is preference for Obama over McCain in candidate evaluations; outcome 2 the probability of voting for Obama relative to voting for McCain. Presented with 95% Confidence Intervals. All controls are held to their means, except gender, race, and education, which are held to their medians. </w:t>
      </w:r>
    </w:p>
    <w:sectPr w:rsidR="001C6601" w:rsidRPr="00C017B8" w:rsidSect="008D7010">
      <w:footnotePr>
        <w:numRestart w:val="eachSect"/>
      </w:footnotePr>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2F39" w14:textId="77777777" w:rsidR="0062334B" w:rsidRDefault="0062334B" w:rsidP="003058B0">
      <w:pPr>
        <w:spacing w:after="0"/>
      </w:pPr>
      <w:r>
        <w:separator/>
      </w:r>
    </w:p>
  </w:endnote>
  <w:endnote w:type="continuationSeparator" w:id="0">
    <w:p w14:paraId="1F65714A" w14:textId="77777777" w:rsidR="0062334B" w:rsidRDefault="0062334B" w:rsidP="003058B0">
      <w:pPr>
        <w:spacing w:after="0"/>
      </w:pPr>
      <w:r>
        <w:continuationSeparator/>
      </w:r>
    </w:p>
  </w:endnote>
  <w:endnote w:type="continuationNotice" w:id="1">
    <w:p w14:paraId="57BED436" w14:textId="77777777" w:rsidR="0062334B" w:rsidRDefault="0062334B">
      <w:pPr>
        <w:spacing w:after="0"/>
      </w:pPr>
    </w:p>
  </w:endnote>
  <w:endnote w:id="2">
    <w:p w14:paraId="36625748" w14:textId="77777777" w:rsidR="00DB4A5D" w:rsidRPr="00127070" w:rsidRDefault="00DB4A5D" w:rsidP="00127070">
      <w:pPr>
        <w:pStyle w:val="EndnoteText"/>
        <w:spacing w:line="480" w:lineRule="auto"/>
        <w:contextualSpacing/>
        <w:rPr>
          <w:sz w:val="24"/>
          <w:szCs w:val="24"/>
        </w:rPr>
      </w:pPr>
      <w:r w:rsidRPr="00127070">
        <w:rPr>
          <w:rStyle w:val="EndnoteReference"/>
          <w:sz w:val="24"/>
          <w:szCs w:val="24"/>
        </w:rPr>
        <w:endnoteRef/>
      </w:r>
      <w:r w:rsidRPr="00127070">
        <w:rPr>
          <w:sz w:val="24"/>
          <w:szCs w:val="24"/>
        </w:rPr>
        <w:t xml:space="preserve"> See DeBell et al. (2010) for an explanation of why AAPOR standards are less credible for this sampling frame and a further explanation of attrition across waves.</w:t>
      </w:r>
    </w:p>
  </w:endnote>
  <w:endnote w:id="3">
    <w:p w14:paraId="4F75C9A6" w14:textId="61EC1CC6" w:rsidR="00DB4A5D" w:rsidRDefault="00DB4A5D" w:rsidP="009F39BC">
      <w:pPr>
        <w:pStyle w:val="EndnoteText"/>
        <w:spacing w:line="480" w:lineRule="auto"/>
      </w:pPr>
      <w:r w:rsidRPr="009F39BC">
        <w:rPr>
          <w:rStyle w:val="EndnoteReference"/>
          <w:sz w:val="24"/>
        </w:rPr>
        <w:endnoteRef/>
      </w:r>
      <w:r w:rsidRPr="009F39BC">
        <w:rPr>
          <w:sz w:val="24"/>
        </w:rPr>
        <w:t xml:space="preserve"> </w:t>
      </w:r>
      <w:r>
        <w:rPr>
          <w:sz w:val="24"/>
        </w:rPr>
        <w:t xml:space="preserve">The number of discussants with whom respondents disagree </w:t>
      </w:r>
      <w:r w:rsidRPr="009F39BC">
        <w:rPr>
          <w:sz w:val="24"/>
        </w:rPr>
        <w:t xml:space="preserve">and </w:t>
      </w:r>
      <w:r>
        <w:rPr>
          <w:sz w:val="24"/>
        </w:rPr>
        <w:t xml:space="preserve">the </w:t>
      </w:r>
      <w:r w:rsidRPr="009F39BC">
        <w:rPr>
          <w:sz w:val="24"/>
        </w:rPr>
        <w:t xml:space="preserve">frequency of </w:t>
      </w:r>
      <w:r>
        <w:rPr>
          <w:sz w:val="24"/>
        </w:rPr>
        <w:t xml:space="preserve">their verbal </w:t>
      </w:r>
      <w:r w:rsidRPr="009F39BC">
        <w:rPr>
          <w:sz w:val="24"/>
        </w:rPr>
        <w:t>disagreement</w:t>
      </w:r>
      <w:r>
        <w:rPr>
          <w:sz w:val="24"/>
        </w:rPr>
        <w:t xml:space="preserve">s </w:t>
      </w:r>
      <w:r w:rsidRPr="009F39BC">
        <w:rPr>
          <w:sz w:val="24"/>
        </w:rPr>
        <w:t>are distinct concepts in principle,</w:t>
      </w:r>
      <w:r>
        <w:rPr>
          <w:sz w:val="24"/>
        </w:rPr>
        <w:t xml:space="preserve"> but</w:t>
      </w:r>
      <w:r w:rsidRPr="009F39BC">
        <w:rPr>
          <w:sz w:val="24"/>
        </w:rPr>
        <w:t xml:space="preserve"> in practice we find that they measure the same general perception of disagreement. Exploratory factor analysis shows that the three questions load onto one factor. The results shown in the main text are robust to multiple constructions of the disagreement measure, including a version using only the ‘frequency’ questions, only the ‘proportion’ question, or alternative methods of weighting the contribution of the three questions.</w:t>
      </w:r>
    </w:p>
  </w:endnote>
  <w:endnote w:id="4">
    <w:p w14:paraId="75BB27FD" w14:textId="43C86C95" w:rsidR="00DB4A5D" w:rsidRPr="00127070" w:rsidRDefault="00DB4A5D" w:rsidP="002D25EF">
      <w:pPr>
        <w:pStyle w:val="EndnoteText"/>
        <w:spacing w:line="480" w:lineRule="auto"/>
        <w:contextualSpacing/>
        <w:rPr>
          <w:sz w:val="24"/>
          <w:szCs w:val="24"/>
        </w:rPr>
      </w:pPr>
      <w:r w:rsidRPr="00127070">
        <w:rPr>
          <w:rStyle w:val="EndnoteReference"/>
          <w:sz w:val="24"/>
          <w:szCs w:val="24"/>
        </w:rPr>
        <w:endnoteRef/>
      </w:r>
      <w:r w:rsidRPr="00127070">
        <w:rPr>
          <w:sz w:val="24"/>
          <w:szCs w:val="24"/>
        </w:rPr>
        <w:t xml:space="preserve"> For those who named three discussants, Cronbach’s α for the disagreement scale is 0.51. The creation of this scale is similar to that used by Parsons (2010) and Klofstad et al. (2013), among others. This measure captures the average level of disagreement within the respondent’s network. An alternative method would measure the </w:t>
      </w:r>
      <w:r w:rsidRPr="00127070">
        <w:rPr>
          <w:i/>
          <w:sz w:val="24"/>
          <w:szCs w:val="24"/>
        </w:rPr>
        <w:t xml:space="preserve">number </w:t>
      </w:r>
      <w:r w:rsidRPr="00127070">
        <w:rPr>
          <w:sz w:val="24"/>
          <w:szCs w:val="24"/>
        </w:rPr>
        <w:t xml:space="preserve">of discussants with whom the respondent reports at least moderate </w:t>
      </w:r>
      <w:r>
        <w:rPr>
          <w:sz w:val="24"/>
          <w:szCs w:val="24"/>
        </w:rPr>
        <w:t>political disagreement. Table B3, Appendix B</w:t>
      </w:r>
      <w:r w:rsidRPr="00127070">
        <w:rPr>
          <w:sz w:val="24"/>
          <w:szCs w:val="24"/>
        </w:rPr>
        <w:t xml:space="preserve"> presents the main ANES models using this alternative measurement. The results do not substantively differ from the results reported in the main text</w:t>
      </w:r>
      <w:r>
        <w:rPr>
          <w:sz w:val="24"/>
          <w:szCs w:val="24"/>
        </w:rPr>
        <w:t>, with the exception that the interaction between policy preferences and disagreement becomes a significant predictor of vote choice in the expected direction</w:t>
      </w:r>
      <w:r w:rsidRPr="00127070">
        <w:rPr>
          <w:sz w:val="24"/>
          <w:szCs w:val="24"/>
        </w:rPr>
        <w:t>.</w:t>
      </w:r>
    </w:p>
  </w:endnote>
  <w:endnote w:id="5">
    <w:p w14:paraId="0060ACCF" w14:textId="6379BD8F" w:rsidR="00DB4A5D" w:rsidRPr="002D25EF" w:rsidRDefault="00DB4A5D" w:rsidP="002D25EF">
      <w:pPr>
        <w:pStyle w:val="EndnoteText"/>
        <w:spacing w:line="480" w:lineRule="auto"/>
        <w:rPr>
          <w:sz w:val="24"/>
          <w:szCs w:val="24"/>
        </w:rPr>
      </w:pPr>
      <w:r w:rsidRPr="002D25EF">
        <w:rPr>
          <w:rStyle w:val="EndnoteReference"/>
          <w:sz w:val="24"/>
          <w:szCs w:val="24"/>
        </w:rPr>
        <w:endnoteRef/>
      </w:r>
      <w:r w:rsidRPr="002D25EF">
        <w:rPr>
          <w:sz w:val="24"/>
          <w:szCs w:val="24"/>
        </w:rPr>
        <w:t xml:space="preserve"> </w:t>
      </w:r>
      <w:r>
        <w:rPr>
          <w:sz w:val="24"/>
          <w:szCs w:val="24"/>
        </w:rPr>
        <w:t xml:space="preserve">In this 2012 Gallup poll, </w:t>
      </w:r>
      <w:r w:rsidRPr="002D25EF">
        <w:rPr>
          <w:sz w:val="24"/>
          <w:szCs w:val="24"/>
        </w:rPr>
        <w:t>37% of</w:t>
      </w:r>
      <w:r>
        <w:rPr>
          <w:sz w:val="24"/>
          <w:szCs w:val="24"/>
        </w:rPr>
        <w:t xml:space="preserve"> respondents rated “the economy” as the most important problem facing the nation. The runners-up were “unemployment” (26%) and the federal deficit (12%).</w:t>
      </w:r>
    </w:p>
  </w:endnote>
  <w:endnote w:id="6">
    <w:p w14:paraId="4265C80F" w14:textId="7AFA5FB3" w:rsidR="00DB4A5D" w:rsidRPr="00155707" w:rsidRDefault="00DB4A5D" w:rsidP="00155707">
      <w:pPr>
        <w:pStyle w:val="EndnoteText"/>
        <w:spacing w:line="480" w:lineRule="auto"/>
        <w:rPr>
          <w:sz w:val="24"/>
        </w:rPr>
      </w:pPr>
      <w:r w:rsidRPr="00155707">
        <w:rPr>
          <w:rStyle w:val="EndnoteReference"/>
          <w:sz w:val="24"/>
        </w:rPr>
        <w:endnoteRef/>
      </w:r>
      <w:r w:rsidRPr="00155707">
        <w:rPr>
          <w:sz w:val="24"/>
        </w:rPr>
        <w:t xml:space="preserve"> Due to the limited number of policy items in the MN Panel, we include all four items in our policy scale. A more limited scale focusing on the most campaign-relevant items (i.e.</w:t>
      </w:r>
      <w:r>
        <w:rPr>
          <w:sz w:val="24"/>
        </w:rPr>
        <w:t>,</w:t>
      </w:r>
      <w:r w:rsidRPr="00155707">
        <w:rPr>
          <w:sz w:val="24"/>
        </w:rPr>
        <w:t xml:space="preserve"> excluding government spending on national defense and the environment) produces substantively identical results.</w:t>
      </w:r>
    </w:p>
  </w:endnote>
  <w:endnote w:id="7">
    <w:p w14:paraId="0AE825E0" w14:textId="136F019D" w:rsidR="00DB4A5D" w:rsidRDefault="00DB4A5D" w:rsidP="009F39BC">
      <w:pPr>
        <w:pStyle w:val="EndnoteText"/>
        <w:spacing w:line="480" w:lineRule="auto"/>
      </w:pPr>
      <w:r w:rsidRPr="009F39BC">
        <w:rPr>
          <w:rStyle w:val="EndnoteReference"/>
          <w:sz w:val="24"/>
        </w:rPr>
        <w:endnoteRef/>
      </w:r>
      <w:r w:rsidRPr="009F39BC">
        <w:rPr>
          <w:sz w:val="24"/>
        </w:rPr>
        <w:t xml:space="preserve"> </w:t>
      </w:r>
      <w:bookmarkStart w:id="3" w:name="_Hlk2170304"/>
      <w:r>
        <w:rPr>
          <w:sz w:val="24"/>
        </w:rPr>
        <w:t xml:space="preserve">In the 2008 Gallup poll, 55% of respondents rated “the economy” as an extremely important problem facing the nation. The runners-up were terrorism (42%), healthcare (41%), and taxes (40%). We included all attitude measures related to these issues in our composite measure. </w:t>
      </w:r>
      <w:r w:rsidRPr="009F39BC">
        <w:rPr>
          <w:sz w:val="24"/>
        </w:rPr>
        <w:t xml:space="preserve">The items </w:t>
      </w:r>
      <w:r>
        <w:rPr>
          <w:sz w:val="24"/>
        </w:rPr>
        <w:t xml:space="preserve">excluded from our composite scale were </w:t>
      </w:r>
      <w:r w:rsidRPr="009F39BC">
        <w:rPr>
          <w:sz w:val="24"/>
        </w:rPr>
        <w:t>relate</w:t>
      </w:r>
      <w:r>
        <w:rPr>
          <w:sz w:val="24"/>
        </w:rPr>
        <w:t>d</w:t>
      </w:r>
      <w:r w:rsidRPr="009F39BC">
        <w:rPr>
          <w:sz w:val="24"/>
        </w:rPr>
        <w:t xml:space="preserve"> to</w:t>
      </w:r>
      <w:r>
        <w:rPr>
          <w:sz w:val="24"/>
        </w:rPr>
        <w:t xml:space="preserve"> </w:t>
      </w:r>
      <w:r w:rsidRPr="009F39BC">
        <w:rPr>
          <w:sz w:val="24"/>
        </w:rPr>
        <w:t>same-sex marriage</w:t>
      </w:r>
      <w:r>
        <w:rPr>
          <w:sz w:val="24"/>
        </w:rPr>
        <w:t>,</w:t>
      </w:r>
      <w:r w:rsidRPr="009F39BC">
        <w:rPr>
          <w:sz w:val="24"/>
        </w:rPr>
        <w:t xml:space="preserve"> illegal immigration</w:t>
      </w:r>
      <w:r>
        <w:rPr>
          <w:sz w:val="24"/>
        </w:rPr>
        <w:t>, and increasing taxes on those making less than $200,000 per year</w:t>
      </w:r>
      <w:r w:rsidRPr="009F39BC">
        <w:rPr>
          <w:sz w:val="24"/>
        </w:rPr>
        <w:t>.</w:t>
      </w:r>
      <w:r>
        <w:rPr>
          <w:sz w:val="24"/>
        </w:rPr>
        <w:t xml:space="preserve"> Increasing taxes on low- and middle-income Americans is not clearly a liberal or conservative issue, and indeed was widely opposed (only 7% of respondents favored increasing taxes for this group). </w:t>
      </w:r>
      <w:r w:rsidRPr="009F39BC">
        <w:rPr>
          <w:sz w:val="24"/>
        </w:rPr>
        <w:t>While same-sex marriage was a relevant issue in 2008, both McCain and Obama argued that ‘marriage’ should be limited to heterosexual couples (</w:t>
      </w:r>
      <w:r>
        <w:rPr>
          <w:sz w:val="24"/>
        </w:rPr>
        <w:t>Ewers,</w:t>
      </w:r>
      <w:r w:rsidRPr="009F39BC">
        <w:rPr>
          <w:sz w:val="24"/>
        </w:rPr>
        <w:t xml:space="preserve"> 2008). Illegal immigration, meanwhile, was only viewed as an extremely important issue by 25% of voting-age Americans in October 2008 (</w:t>
      </w:r>
      <w:r>
        <w:rPr>
          <w:sz w:val="24"/>
        </w:rPr>
        <w:t>Saad,</w:t>
      </w:r>
      <w:r w:rsidRPr="009F39BC">
        <w:rPr>
          <w:sz w:val="24"/>
        </w:rPr>
        <w:t xml:space="preserve"> 2008). </w:t>
      </w:r>
      <w:r>
        <w:rPr>
          <w:sz w:val="24"/>
        </w:rPr>
        <w:t>When we estimate the models from Table 2 with a broader policy scale including same-sex marriage and illegal immigration, the key interaction between disagreement and policy preferences is not statistically significant, but the interaction between disagreement and party identification is much the same. These results are provided in Appendix B, Table B4.</w:t>
      </w:r>
    </w:p>
    <w:bookmarkEnd w:id="3"/>
  </w:endnote>
  <w:endnote w:id="8">
    <w:p w14:paraId="27FA1603" w14:textId="249DA261" w:rsidR="00DB4A5D" w:rsidRPr="00127070" w:rsidRDefault="00DB4A5D" w:rsidP="00127070">
      <w:pPr>
        <w:pStyle w:val="EndnoteText"/>
        <w:spacing w:line="480" w:lineRule="auto"/>
        <w:rPr>
          <w:b/>
          <w:sz w:val="24"/>
          <w:szCs w:val="24"/>
        </w:rPr>
      </w:pPr>
      <w:r w:rsidRPr="00127070">
        <w:rPr>
          <w:rStyle w:val="EndnoteReference"/>
          <w:sz w:val="24"/>
          <w:szCs w:val="24"/>
        </w:rPr>
        <w:endnoteRef/>
      </w:r>
      <w:r w:rsidRPr="00127070">
        <w:rPr>
          <w:sz w:val="24"/>
          <w:szCs w:val="24"/>
        </w:rPr>
        <w:t xml:space="preserve"> Out of 927 complete cases in Wave 1 and Wave 3 of the MN Panel, </w:t>
      </w:r>
      <w:r w:rsidRPr="00EA5F4D">
        <w:rPr>
          <w:sz w:val="24"/>
          <w:szCs w:val="24"/>
        </w:rPr>
        <w:t xml:space="preserve">7 </w:t>
      </w:r>
      <w:r w:rsidRPr="00127070">
        <w:rPr>
          <w:sz w:val="24"/>
          <w:szCs w:val="24"/>
        </w:rPr>
        <w:t xml:space="preserve">respondents changed their preference from one candidate to the other. In the </w:t>
      </w:r>
      <w:r>
        <w:rPr>
          <w:sz w:val="24"/>
          <w:szCs w:val="24"/>
        </w:rPr>
        <w:t>A</w:t>
      </w:r>
      <w:r w:rsidRPr="00127070">
        <w:rPr>
          <w:sz w:val="24"/>
          <w:szCs w:val="24"/>
        </w:rPr>
        <w:t>NES, in contrast, 50 respondents (of 90</w:t>
      </w:r>
      <w:r>
        <w:rPr>
          <w:sz w:val="24"/>
          <w:szCs w:val="24"/>
        </w:rPr>
        <w:t>0</w:t>
      </w:r>
      <w:r w:rsidRPr="00127070">
        <w:rPr>
          <w:sz w:val="24"/>
          <w:szCs w:val="24"/>
        </w:rPr>
        <w:t xml:space="preserve"> complete cases) changed their preference from one candidate to the other. We do not examine change in vote intention among undecided or third-party voters because the nature (and therefore the likely consequences) of the political disagreement that they experience may differ fundamentally from disagreements </w:t>
      </w:r>
      <w:r w:rsidRPr="00127070">
        <w:rPr>
          <w:i/>
          <w:sz w:val="24"/>
          <w:szCs w:val="24"/>
        </w:rPr>
        <w:t>across</w:t>
      </w:r>
      <w:r w:rsidRPr="00127070">
        <w:rPr>
          <w:sz w:val="24"/>
          <w:szCs w:val="24"/>
        </w:rPr>
        <w:t xml:space="preserve"> the left-right divide.</w:t>
      </w:r>
    </w:p>
  </w:endnote>
  <w:endnote w:id="9">
    <w:p w14:paraId="765187B8" w14:textId="2AD73B24" w:rsidR="00DB4A5D" w:rsidRPr="004830F5" w:rsidRDefault="00DB4A5D" w:rsidP="00127070">
      <w:pPr>
        <w:pStyle w:val="EndnoteText"/>
        <w:spacing w:line="480" w:lineRule="auto"/>
        <w:rPr>
          <w:sz w:val="24"/>
          <w:szCs w:val="24"/>
        </w:rPr>
      </w:pPr>
      <w:r w:rsidRPr="00127070">
        <w:rPr>
          <w:rStyle w:val="EndnoteReference"/>
          <w:sz w:val="24"/>
          <w:szCs w:val="24"/>
        </w:rPr>
        <w:endnoteRef/>
      </w:r>
      <w:r w:rsidRPr="00127070">
        <w:rPr>
          <w:sz w:val="24"/>
          <w:szCs w:val="24"/>
        </w:rPr>
        <w:t xml:space="preserve"> In </w:t>
      </w:r>
      <w:r>
        <w:rPr>
          <w:sz w:val="24"/>
          <w:szCs w:val="24"/>
        </w:rPr>
        <w:t>Appendix B, Table B11</w:t>
      </w:r>
      <w:r w:rsidRPr="00127070">
        <w:rPr>
          <w:sz w:val="24"/>
          <w:szCs w:val="24"/>
        </w:rPr>
        <w:t>, we analyze Obama and Romney FTs as separate outcomes. There are no substantive differences between these models</w:t>
      </w:r>
      <w:r>
        <w:rPr>
          <w:sz w:val="24"/>
          <w:szCs w:val="24"/>
        </w:rPr>
        <w:t>, which replicate the main text</w:t>
      </w:r>
      <w:r w:rsidRPr="00127070">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96039"/>
      <w:docPartObj>
        <w:docPartGallery w:val="Page Numbers (Bottom of Page)"/>
        <w:docPartUnique/>
      </w:docPartObj>
    </w:sdtPr>
    <w:sdtEndPr>
      <w:rPr>
        <w:noProof/>
      </w:rPr>
    </w:sdtEndPr>
    <w:sdtContent>
      <w:p w14:paraId="317A0911" w14:textId="6BB44A3B" w:rsidR="00DB4A5D" w:rsidRDefault="00DB4A5D">
        <w:pPr>
          <w:pStyle w:val="Footer"/>
          <w:jc w:val="center"/>
        </w:pPr>
        <w:r>
          <w:fldChar w:fldCharType="begin"/>
        </w:r>
        <w:r>
          <w:instrText xml:space="preserve"> PAGE   \* MERGEFORMAT </w:instrText>
        </w:r>
        <w:r>
          <w:fldChar w:fldCharType="separate"/>
        </w:r>
        <w:r w:rsidR="00141434">
          <w:rPr>
            <w:noProof/>
          </w:rPr>
          <w:t>19</w:t>
        </w:r>
        <w:r>
          <w:rPr>
            <w:noProof/>
          </w:rPr>
          <w:fldChar w:fldCharType="end"/>
        </w:r>
      </w:p>
    </w:sdtContent>
  </w:sdt>
  <w:p w14:paraId="31BAA7F2" w14:textId="77777777" w:rsidR="00DB4A5D" w:rsidRDefault="00DB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7624" w14:textId="70329820" w:rsidR="00DB4A5D" w:rsidRDefault="00DB4A5D" w:rsidP="0002756D">
    <w:pPr>
      <w:pStyle w:val="Footer"/>
      <w:jc w:val="center"/>
    </w:pPr>
    <w:r>
      <w:fldChar w:fldCharType="begin"/>
    </w:r>
    <w:r>
      <w:instrText xml:space="preserve"> PAGE   \* MERGEFORMAT </w:instrText>
    </w:r>
    <w:r>
      <w:fldChar w:fldCharType="separate"/>
    </w:r>
    <w:r w:rsidR="00141434">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CB08" w14:textId="77777777" w:rsidR="0062334B" w:rsidRDefault="0062334B" w:rsidP="003058B0">
      <w:pPr>
        <w:spacing w:after="0"/>
      </w:pPr>
      <w:r>
        <w:separator/>
      </w:r>
    </w:p>
  </w:footnote>
  <w:footnote w:type="continuationSeparator" w:id="0">
    <w:p w14:paraId="0E33A24D" w14:textId="77777777" w:rsidR="0062334B" w:rsidRDefault="0062334B" w:rsidP="003058B0">
      <w:pPr>
        <w:spacing w:after="0"/>
      </w:pPr>
      <w:r>
        <w:continuationSeparator/>
      </w:r>
    </w:p>
  </w:footnote>
  <w:footnote w:type="continuationNotice" w:id="1">
    <w:p w14:paraId="305D7A18" w14:textId="77777777" w:rsidR="0062334B" w:rsidRDefault="0062334B">
      <w:pPr>
        <w:spacing w:after="0"/>
      </w:pPr>
    </w:p>
  </w:footnote>
  <w:footnote w:id="2">
    <w:p w14:paraId="39A73D02" w14:textId="4BE0FC7F" w:rsidR="00DB4A5D" w:rsidRPr="00F53F05" w:rsidRDefault="00DB4A5D" w:rsidP="003058B0">
      <w:pPr>
        <w:pStyle w:val="FootnoteText"/>
      </w:pPr>
      <w:r>
        <w:rPr>
          <w:rStyle w:val="FootnoteReference"/>
        </w:rPr>
        <w:t>a</w:t>
      </w:r>
      <w:r w:rsidR="0077257F">
        <w:t xml:space="preserve"> Department of Psychology, </w:t>
      </w:r>
      <w:r>
        <w:t>Washington University in Saint Louis</w:t>
      </w:r>
      <w:r w:rsidR="0077257F">
        <w:t>, St. Louis, MO, USA</w:t>
      </w:r>
    </w:p>
  </w:footnote>
  <w:footnote w:id="3">
    <w:p w14:paraId="5FDC564F" w14:textId="0ECDD2D2" w:rsidR="00DB4A5D" w:rsidRPr="00686848" w:rsidRDefault="00DB4A5D" w:rsidP="003058B0">
      <w:pPr>
        <w:pStyle w:val="FootnoteText"/>
        <w:rPr>
          <w:lang w:eastAsia="ko-KR"/>
        </w:rPr>
      </w:pPr>
      <w:r>
        <w:rPr>
          <w:rStyle w:val="FootnoteReference"/>
        </w:rPr>
        <w:t>b</w:t>
      </w:r>
      <w:r>
        <w:t xml:space="preserve"> </w:t>
      </w:r>
      <w:r w:rsidR="0077257F">
        <w:t xml:space="preserve">Department of Political Science, </w:t>
      </w:r>
      <w:r>
        <w:t>US Naval Academy</w:t>
      </w:r>
      <w:r w:rsidR="0077257F">
        <w:t>, Annapolis, MD, USA</w:t>
      </w:r>
    </w:p>
  </w:footnote>
  <w:footnote w:id="4">
    <w:p w14:paraId="22E7FF2D" w14:textId="653109AE" w:rsidR="00DB4A5D" w:rsidRPr="00686848" w:rsidRDefault="00DB4A5D" w:rsidP="003058B0">
      <w:pPr>
        <w:pStyle w:val="FootnoteText"/>
        <w:rPr>
          <w:lang w:eastAsia="ko-KR"/>
        </w:rPr>
      </w:pPr>
      <w:r>
        <w:rPr>
          <w:rStyle w:val="FootnoteReference"/>
        </w:rPr>
        <w:t>c</w:t>
      </w:r>
      <w:r>
        <w:t xml:space="preserve"> </w:t>
      </w:r>
      <w:r w:rsidR="0077257F">
        <w:t>Happify, New York, NY, USA</w:t>
      </w:r>
    </w:p>
  </w:footnote>
  <w:footnote w:id="5">
    <w:p w14:paraId="39351918" w14:textId="11438116" w:rsidR="00DB4A5D" w:rsidRDefault="00DB4A5D" w:rsidP="003058B0">
      <w:pPr>
        <w:pStyle w:val="FootnoteText"/>
      </w:pPr>
      <w:r>
        <w:rPr>
          <w:rStyle w:val="FootnoteReference"/>
        </w:rPr>
        <w:footnoteRef/>
      </w:r>
      <w:r>
        <w:t xml:space="preserve"> </w:t>
      </w:r>
      <w:r w:rsidR="0077257F">
        <w:t>Department of Political Science, University of Minnesota, Minneapolis, MN, USA</w:t>
      </w:r>
    </w:p>
    <w:p w14:paraId="65BBE083" w14:textId="7F5E23C8" w:rsidR="00983309" w:rsidRDefault="00983309" w:rsidP="003058B0">
      <w:pPr>
        <w:pStyle w:val="FootnoteText"/>
      </w:pPr>
      <w:r>
        <w:rPr>
          <w:b/>
        </w:rPr>
        <w:t>Email:</w:t>
      </w:r>
      <w:r>
        <w:t xml:space="preserve"> </w:t>
      </w:r>
      <w:r w:rsidRPr="00983309">
        <w:t>hannahkim80@gmail.com</w:t>
      </w:r>
      <w:r>
        <w:t>.</w:t>
      </w:r>
      <w:bookmarkStart w:id="0" w:name="_GoBack"/>
      <w:bookmarkEnd w:id="0"/>
    </w:p>
  </w:footnote>
  <w:footnote w:id="6">
    <w:p w14:paraId="574F797D" w14:textId="77777777" w:rsidR="00DB4A5D" w:rsidRDefault="00DB4A5D" w:rsidP="003058B0">
      <w:pPr>
        <w:pStyle w:val="FootnoteText"/>
      </w:pPr>
      <w:r>
        <w:rPr>
          <w:rStyle w:val="FootnoteReference"/>
        </w:rPr>
        <w:footnoteRef/>
      </w:r>
      <w:r>
        <w:t xml:space="preserve"> </w:t>
      </w:r>
      <w:r>
        <w:rPr>
          <w:szCs w:val="24"/>
        </w:rPr>
        <w:t>P</w:t>
      </w:r>
      <w:r w:rsidRPr="00FF0C7A">
        <w:rPr>
          <w:szCs w:val="24"/>
        </w:rPr>
        <w:t>roportion of cases where the predicted DV value with the highest probability matche</w:t>
      </w:r>
      <w:r>
        <w:rPr>
          <w:szCs w:val="24"/>
        </w:rPr>
        <w:t>d the actual DV value (Harris &amp;</w:t>
      </w:r>
      <w:r w:rsidRPr="00FF0C7A">
        <w:rPr>
          <w:szCs w:val="24"/>
        </w:rPr>
        <w:t xml:space="preserve"> Zhao</w:t>
      </w:r>
      <w:r>
        <w:rPr>
          <w:szCs w:val="24"/>
        </w:rPr>
        <w:t>, 2007). A</w:t>
      </w:r>
      <w:r w:rsidRPr="00FF0C7A">
        <w:rPr>
          <w:szCs w:val="24"/>
        </w:rPr>
        <w:t xml:space="preserve"> model random</w:t>
      </w:r>
      <w:r>
        <w:rPr>
          <w:szCs w:val="24"/>
        </w:rPr>
        <w:t>ly assigning vote choice</w:t>
      </w:r>
      <w:r w:rsidRPr="00FF0C7A">
        <w:rPr>
          <w:szCs w:val="24"/>
        </w:rPr>
        <w:t xml:space="preserve"> would co</w:t>
      </w:r>
      <w:r>
        <w:rPr>
          <w:szCs w:val="24"/>
        </w:rPr>
        <w:t>rrectly predict 50</w:t>
      </w:r>
      <w:r w:rsidRPr="00FF0C7A">
        <w:rPr>
          <w:szCs w:val="24"/>
        </w:rPr>
        <w:t>% of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D180" w14:textId="77777777" w:rsidR="00DB4A5D" w:rsidRDefault="00DB4A5D">
    <w:pPr>
      <w:pStyle w:val="Header"/>
    </w:pPr>
    <w:r>
      <w:t>SOCIAL NETWORKS AND REASONED CANDIDATE PREFERENCES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0AD7" w14:textId="77777777" w:rsidR="00DB4A5D" w:rsidRDefault="0062334B" w:rsidP="0002756D">
    <w:pPr>
      <w:pStyle w:val="Header"/>
    </w:pPr>
    <w:sdt>
      <w:sdtPr>
        <w:id w:val="239983150"/>
        <w:docPartObj>
          <w:docPartGallery w:val="Page Numbers (Top of Page)"/>
          <w:docPartUnique/>
        </w:docPartObj>
      </w:sdtPr>
      <w:sdtEndPr>
        <w:rPr>
          <w:noProof/>
        </w:rPr>
      </w:sdtEndPr>
      <w:sdtContent>
        <w:r w:rsidR="00DB4A5D">
          <w:t>SOCIAL NETWORKS AND REASONED CANDIDATE PREFERENCES</w:t>
        </w:r>
        <w:r w:rsidR="00DB4A5D">
          <w:tab/>
          <w:t xml:space="preserve"> </w:t>
        </w:r>
      </w:sdtContent>
    </w:sdt>
  </w:p>
  <w:p w14:paraId="251A808C" w14:textId="77777777" w:rsidR="00DB4A5D" w:rsidRDefault="00DB4A5D" w:rsidP="0002756D">
    <w:pPr>
      <w:pStyle w:val="Header"/>
      <w:tabs>
        <w:tab w:val="clear" w:pos="4680"/>
        <w:tab w:val="clear" w:pos="9360"/>
        <w:tab w:val="left" w:pos="799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BEE3" w14:textId="77777777" w:rsidR="00DB4A5D" w:rsidRDefault="00DB4A5D">
    <w:pPr>
      <w:pStyle w:val="Header"/>
    </w:pPr>
    <w:r>
      <w:t>SOCIAL NETWORKS AND REASONED CANDIDATE PREFERENCES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7E01"/>
    <w:multiLevelType w:val="hybridMultilevel"/>
    <w:tmpl w:val="970AFCE8"/>
    <w:lvl w:ilvl="0" w:tplc="A0D46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F0362"/>
    <w:multiLevelType w:val="hybridMultilevel"/>
    <w:tmpl w:val="46906C0A"/>
    <w:lvl w:ilvl="0" w:tplc="B0B6C612">
      <w:start w:val="1"/>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94306"/>
    <w:multiLevelType w:val="hybridMultilevel"/>
    <w:tmpl w:val="8898AECC"/>
    <w:lvl w:ilvl="0" w:tplc="A0D46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numFmt w:val="lowerLette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8B0"/>
    <w:rsid w:val="0000535D"/>
    <w:rsid w:val="000069A8"/>
    <w:rsid w:val="000242E0"/>
    <w:rsid w:val="0002756D"/>
    <w:rsid w:val="00061F57"/>
    <w:rsid w:val="00064447"/>
    <w:rsid w:val="000666B8"/>
    <w:rsid w:val="00077230"/>
    <w:rsid w:val="0008142E"/>
    <w:rsid w:val="0008713A"/>
    <w:rsid w:val="000928E3"/>
    <w:rsid w:val="00094EDD"/>
    <w:rsid w:val="000A6A83"/>
    <w:rsid w:val="000C2AD1"/>
    <w:rsid w:val="000D3331"/>
    <w:rsid w:val="000E703C"/>
    <w:rsid w:val="000F3B64"/>
    <w:rsid w:val="0010365B"/>
    <w:rsid w:val="00103DFD"/>
    <w:rsid w:val="001160E1"/>
    <w:rsid w:val="001259F6"/>
    <w:rsid w:val="00125A43"/>
    <w:rsid w:val="00127070"/>
    <w:rsid w:val="0013354C"/>
    <w:rsid w:val="00141434"/>
    <w:rsid w:val="00144267"/>
    <w:rsid w:val="00155707"/>
    <w:rsid w:val="001617E4"/>
    <w:rsid w:val="00165D3F"/>
    <w:rsid w:val="001710A4"/>
    <w:rsid w:val="00172F3E"/>
    <w:rsid w:val="001B5C01"/>
    <w:rsid w:val="001C12F9"/>
    <w:rsid w:val="001C361C"/>
    <w:rsid w:val="001C6601"/>
    <w:rsid w:val="001E5172"/>
    <w:rsid w:val="001F184A"/>
    <w:rsid w:val="001F30E4"/>
    <w:rsid w:val="001F556C"/>
    <w:rsid w:val="001F73E8"/>
    <w:rsid w:val="00204839"/>
    <w:rsid w:val="002066B2"/>
    <w:rsid w:val="002135E1"/>
    <w:rsid w:val="00223840"/>
    <w:rsid w:val="00230F8A"/>
    <w:rsid w:val="00234528"/>
    <w:rsid w:val="0024281F"/>
    <w:rsid w:val="0024327B"/>
    <w:rsid w:val="00253ED7"/>
    <w:rsid w:val="00282FA6"/>
    <w:rsid w:val="002849B0"/>
    <w:rsid w:val="00285CB1"/>
    <w:rsid w:val="00287962"/>
    <w:rsid w:val="0029024A"/>
    <w:rsid w:val="00292272"/>
    <w:rsid w:val="00296278"/>
    <w:rsid w:val="00297D37"/>
    <w:rsid w:val="002A4A46"/>
    <w:rsid w:val="002A7731"/>
    <w:rsid w:val="002A7ED6"/>
    <w:rsid w:val="002D25EF"/>
    <w:rsid w:val="002D2DAE"/>
    <w:rsid w:val="002F1F2E"/>
    <w:rsid w:val="003006D3"/>
    <w:rsid w:val="003058B0"/>
    <w:rsid w:val="00307000"/>
    <w:rsid w:val="003134DE"/>
    <w:rsid w:val="0033059F"/>
    <w:rsid w:val="00335935"/>
    <w:rsid w:val="00344FB7"/>
    <w:rsid w:val="00346185"/>
    <w:rsid w:val="00357A65"/>
    <w:rsid w:val="00372B0B"/>
    <w:rsid w:val="00385E35"/>
    <w:rsid w:val="00387A0C"/>
    <w:rsid w:val="0039009F"/>
    <w:rsid w:val="0039346A"/>
    <w:rsid w:val="00394B28"/>
    <w:rsid w:val="003A7313"/>
    <w:rsid w:val="003E18F2"/>
    <w:rsid w:val="003F5956"/>
    <w:rsid w:val="004012D8"/>
    <w:rsid w:val="00403B71"/>
    <w:rsid w:val="0041171D"/>
    <w:rsid w:val="004352B5"/>
    <w:rsid w:val="004630FA"/>
    <w:rsid w:val="004659F8"/>
    <w:rsid w:val="004739CC"/>
    <w:rsid w:val="00474A46"/>
    <w:rsid w:val="004830F5"/>
    <w:rsid w:val="004A24B6"/>
    <w:rsid w:val="004B20C7"/>
    <w:rsid w:val="004B5800"/>
    <w:rsid w:val="004C4665"/>
    <w:rsid w:val="004C4A1F"/>
    <w:rsid w:val="004C6E2C"/>
    <w:rsid w:val="004D27A0"/>
    <w:rsid w:val="004D3AF0"/>
    <w:rsid w:val="004D4088"/>
    <w:rsid w:val="004D624F"/>
    <w:rsid w:val="004E2BB9"/>
    <w:rsid w:val="004F55E8"/>
    <w:rsid w:val="005076D2"/>
    <w:rsid w:val="005146DA"/>
    <w:rsid w:val="00515DE5"/>
    <w:rsid w:val="005201EA"/>
    <w:rsid w:val="00520DF6"/>
    <w:rsid w:val="00521BF5"/>
    <w:rsid w:val="00524DBB"/>
    <w:rsid w:val="00530340"/>
    <w:rsid w:val="00530908"/>
    <w:rsid w:val="005427FF"/>
    <w:rsid w:val="00543CB7"/>
    <w:rsid w:val="0054417E"/>
    <w:rsid w:val="00554480"/>
    <w:rsid w:val="00561DF4"/>
    <w:rsid w:val="00565F83"/>
    <w:rsid w:val="005813AC"/>
    <w:rsid w:val="005828DD"/>
    <w:rsid w:val="00585216"/>
    <w:rsid w:val="005A0FC7"/>
    <w:rsid w:val="005A468B"/>
    <w:rsid w:val="005A7744"/>
    <w:rsid w:val="005C14E0"/>
    <w:rsid w:val="005D05B0"/>
    <w:rsid w:val="005E4750"/>
    <w:rsid w:val="005F30EC"/>
    <w:rsid w:val="005F6D31"/>
    <w:rsid w:val="005F7738"/>
    <w:rsid w:val="0061502F"/>
    <w:rsid w:val="00621650"/>
    <w:rsid w:val="0062334B"/>
    <w:rsid w:val="00624029"/>
    <w:rsid w:val="0062795E"/>
    <w:rsid w:val="00633F69"/>
    <w:rsid w:val="00636099"/>
    <w:rsid w:val="00640A16"/>
    <w:rsid w:val="006478F2"/>
    <w:rsid w:val="0065345A"/>
    <w:rsid w:val="00683A81"/>
    <w:rsid w:val="00687416"/>
    <w:rsid w:val="00696FC0"/>
    <w:rsid w:val="006A0425"/>
    <w:rsid w:val="006A1F37"/>
    <w:rsid w:val="006B2A72"/>
    <w:rsid w:val="006C0C2E"/>
    <w:rsid w:val="006C25C1"/>
    <w:rsid w:val="006C5975"/>
    <w:rsid w:val="006D0C5E"/>
    <w:rsid w:val="006D2BB1"/>
    <w:rsid w:val="006D5DDF"/>
    <w:rsid w:val="00700945"/>
    <w:rsid w:val="00701463"/>
    <w:rsid w:val="00721DEB"/>
    <w:rsid w:val="00723CFE"/>
    <w:rsid w:val="00733389"/>
    <w:rsid w:val="007356E4"/>
    <w:rsid w:val="00740902"/>
    <w:rsid w:val="00741EDA"/>
    <w:rsid w:val="00751F28"/>
    <w:rsid w:val="0076177A"/>
    <w:rsid w:val="0077052F"/>
    <w:rsid w:val="0077257F"/>
    <w:rsid w:val="007729CF"/>
    <w:rsid w:val="00776C2C"/>
    <w:rsid w:val="00780C33"/>
    <w:rsid w:val="00781E15"/>
    <w:rsid w:val="00792617"/>
    <w:rsid w:val="00793626"/>
    <w:rsid w:val="007A0F98"/>
    <w:rsid w:val="007A204F"/>
    <w:rsid w:val="007A2CC4"/>
    <w:rsid w:val="007C51DB"/>
    <w:rsid w:val="007C567E"/>
    <w:rsid w:val="007C5E42"/>
    <w:rsid w:val="007D6CD3"/>
    <w:rsid w:val="007E08B7"/>
    <w:rsid w:val="007E2A80"/>
    <w:rsid w:val="007E2DAD"/>
    <w:rsid w:val="008025F1"/>
    <w:rsid w:val="008249D0"/>
    <w:rsid w:val="008338AC"/>
    <w:rsid w:val="008362E5"/>
    <w:rsid w:val="00836449"/>
    <w:rsid w:val="00845A97"/>
    <w:rsid w:val="00852E0A"/>
    <w:rsid w:val="00862825"/>
    <w:rsid w:val="00862B50"/>
    <w:rsid w:val="00862DAC"/>
    <w:rsid w:val="008647B0"/>
    <w:rsid w:val="00865136"/>
    <w:rsid w:val="0086535C"/>
    <w:rsid w:val="008775F2"/>
    <w:rsid w:val="0089437E"/>
    <w:rsid w:val="0089513C"/>
    <w:rsid w:val="008B1A42"/>
    <w:rsid w:val="008B4A22"/>
    <w:rsid w:val="008B528A"/>
    <w:rsid w:val="008B5E12"/>
    <w:rsid w:val="008C14A9"/>
    <w:rsid w:val="008C3EEF"/>
    <w:rsid w:val="008C4096"/>
    <w:rsid w:val="008C4CBF"/>
    <w:rsid w:val="008C53DC"/>
    <w:rsid w:val="008D01B2"/>
    <w:rsid w:val="008D7010"/>
    <w:rsid w:val="008E1118"/>
    <w:rsid w:val="009110AE"/>
    <w:rsid w:val="00913C8D"/>
    <w:rsid w:val="00917A5B"/>
    <w:rsid w:val="00925078"/>
    <w:rsid w:val="00936D35"/>
    <w:rsid w:val="00943CE6"/>
    <w:rsid w:val="00945467"/>
    <w:rsid w:val="00945617"/>
    <w:rsid w:val="0098128C"/>
    <w:rsid w:val="009831BA"/>
    <w:rsid w:val="00983309"/>
    <w:rsid w:val="00995571"/>
    <w:rsid w:val="0099635C"/>
    <w:rsid w:val="009A2E24"/>
    <w:rsid w:val="009B774A"/>
    <w:rsid w:val="009B7910"/>
    <w:rsid w:val="009C7ECC"/>
    <w:rsid w:val="009D4A2C"/>
    <w:rsid w:val="009F39BC"/>
    <w:rsid w:val="00A0036E"/>
    <w:rsid w:val="00A00BCD"/>
    <w:rsid w:val="00A10A43"/>
    <w:rsid w:val="00A20FC8"/>
    <w:rsid w:val="00A21C44"/>
    <w:rsid w:val="00A3076A"/>
    <w:rsid w:val="00A40CE9"/>
    <w:rsid w:val="00A420B3"/>
    <w:rsid w:val="00A44D52"/>
    <w:rsid w:val="00A47FE1"/>
    <w:rsid w:val="00A534C0"/>
    <w:rsid w:val="00A70100"/>
    <w:rsid w:val="00A73340"/>
    <w:rsid w:val="00A7334C"/>
    <w:rsid w:val="00AA717B"/>
    <w:rsid w:val="00AB658E"/>
    <w:rsid w:val="00AC20E2"/>
    <w:rsid w:val="00AD3423"/>
    <w:rsid w:val="00AD53AC"/>
    <w:rsid w:val="00AF4701"/>
    <w:rsid w:val="00B07BC5"/>
    <w:rsid w:val="00B10C03"/>
    <w:rsid w:val="00B14149"/>
    <w:rsid w:val="00B161BF"/>
    <w:rsid w:val="00B23C98"/>
    <w:rsid w:val="00B51C70"/>
    <w:rsid w:val="00B5686C"/>
    <w:rsid w:val="00B70D31"/>
    <w:rsid w:val="00BA2876"/>
    <w:rsid w:val="00BB2BE9"/>
    <w:rsid w:val="00BB2E13"/>
    <w:rsid w:val="00BC2D0F"/>
    <w:rsid w:val="00BC4736"/>
    <w:rsid w:val="00BD30DD"/>
    <w:rsid w:val="00BD31AF"/>
    <w:rsid w:val="00BD685E"/>
    <w:rsid w:val="00BE18D1"/>
    <w:rsid w:val="00BF0596"/>
    <w:rsid w:val="00BF4D5D"/>
    <w:rsid w:val="00BF5F23"/>
    <w:rsid w:val="00C017B8"/>
    <w:rsid w:val="00C10CE2"/>
    <w:rsid w:val="00C11DDC"/>
    <w:rsid w:val="00C15571"/>
    <w:rsid w:val="00C15C72"/>
    <w:rsid w:val="00C279FF"/>
    <w:rsid w:val="00C334AE"/>
    <w:rsid w:val="00C42520"/>
    <w:rsid w:val="00C77D8A"/>
    <w:rsid w:val="00C80D7B"/>
    <w:rsid w:val="00C8172B"/>
    <w:rsid w:val="00C8725C"/>
    <w:rsid w:val="00C87C73"/>
    <w:rsid w:val="00C92CEB"/>
    <w:rsid w:val="00C960C6"/>
    <w:rsid w:val="00CA2CCF"/>
    <w:rsid w:val="00CC28AB"/>
    <w:rsid w:val="00CC3D7D"/>
    <w:rsid w:val="00CC506F"/>
    <w:rsid w:val="00CC5098"/>
    <w:rsid w:val="00CC556B"/>
    <w:rsid w:val="00CD24A1"/>
    <w:rsid w:val="00D00D45"/>
    <w:rsid w:val="00D10CEC"/>
    <w:rsid w:val="00D13DAC"/>
    <w:rsid w:val="00D14E7B"/>
    <w:rsid w:val="00D16706"/>
    <w:rsid w:val="00D209CC"/>
    <w:rsid w:val="00D25414"/>
    <w:rsid w:val="00D44558"/>
    <w:rsid w:val="00D45920"/>
    <w:rsid w:val="00D53DDD"/>
    <w:rsid w:val="00D54DE8"/>
    <w:rsid w:val="00D66FED"/>
    <w:rsid w:val="00D73301"/>
    <w:rsid w:val="00D73531"/>
    <w:rsid w:val="00D73FA8"/>
    <w:rsid w:val="00D86997"/>
    <w:rsid w:val="00DA6DAA"/>
    <w:rsid w:val="00DB4A5D"/>
    <w:rsid w:val="00DD5EBF"/>
    <w:rsid w:val="00DE2794"/>
    <w:rsid w:val="00DF5853"/>
    <w:rsid w:val="00E05828"/>
    <w:rsid w:val="00E354D5"/>
    <w:rsid w:val="00E45091"/>
    <w:rsid w:val="00E5183E"/>
    <w:rsid w:val="00E65789"/>
    <w:rsid w:val="00E8058F"/>
    <w:rsid w:val="00E97B46"/>
    <w:rsid w:val="00EA5F4D"/>
    <w:rsid w:val="00EB4CCD"/>
    <w:rsid w:val="00EC44CE"/>
    <w:rsid w:val="00EC7A32"/>
    <w:rsid w:val="00ED167D"/>
    <w:rsid w:val="00EE21F7"/>
    <w:rsid w:val="00EE2D92"/>
    <w:rsid w:val="00EE3656"/>
    <w:rsid w:val="00EF4AC2"/>
    <w:rsid w:val="00EF6243"/>
    <w:rsid w:val="00F02DF3"/>
    <w:rsid w:val="00F06578"/>
    <w:rsid w:val="00F10FA2"/>
    <w:rsid w:val="00F1165F"/>
    <w:rsid w:val="00F13AB4"/>
    <w:rsid w:val="00F21CAA"/>
    <w:rsid w:val="00F25B3A"/>
    <w:rsid w:val="00F324BA"/>
    <w:rsid w:val="00F35FE9"/>
    <w:rsid w:val="00F37650"/>
    <w:rsid w:val="00F430FF"/>
    <w:rsid w:val="00F448FB"/>
    <w:rsid w:val="00F525F1"/>
    <w:rsid w:val="00F6075E"/>
    <w:rsid w:val="00F62B6D"/>
    <w:rsid w:val="00F64F32"/>
    <w:rsid w:val="00F77C6C"/>
    <w:rsid w:val="00F92BA7"/>
    <w:rsid w:val="00F94859"/>
    <w:rsid w:val="00FB4B8C"/>
    <w:rsid w:val="00FD7310"/>
    <w:rsid w:val="00FE54C0"/>
    <w:rsid w:val="00FF28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8B0"/>
    <w:pPr>
      <w:spacing w:after="200" w:line="240" w:lineRule="auto"/>
    </w:pPr>
    <w:rPr>
      <w:rFonts w:ascii="Times New Roman" w:eastAsia="Batang"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8B0"/>
    <w:rPr>
      <w:sz w:val="16"/>
      <w:szCs w:val="16"/>
    </w:rPr>
  </w:style>
  <w:style w:type="paragraph" w:styleId="CommentText">
    <w:name w:val="annotation text"/>
    <w:basedOn w:val="Normal"/>
    <w:link w:val="CommentTextChar"/>
    <w:uiPriority w:val="99"/>
    <w:unhideWhenUsed/>
    <w:rsid w:val="003058B0"/>
    <w:rPr>
      <w:sz w:val="20"/>
      <w:szCs w:val="20"/>
    </w:rPr>
  </w:style>
  <w:style w:type="character" w:customStyle="1" w:styleId="CommentTextChar">
    <w:name w:val="Comment Text Char"/>
    <w:basedOn w:val="DefaultParagraphFont"/>
    <w:link w:val="CommentText"/>
    <w:uiPriority w:val="99"/>
    <w:rsid w:val="003058B0"/>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8B0"/>
    <w:rPr>
      <w:b/>
      <w:bCs/>
    </w:rPr>
  </w:style>
  <w:style w:type="character" w:customStyle="1" w:styleId="CommentSubjectChar">
    <w:name w:val="Comment Subject Char"/>
    <w:basedOn w:val="CommentTextChar"/>
    <w:link w:val="CommentSubject"/>
    <w:uiPriority w:val="99"/>
    <w:semiHidden/>
    <w:rsid w:val="003058B0"/>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3058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B0"/>
    <w:rPr>
      <w:rFonts w:ascii="Tahoma" w:eastAsia="Batang" w:hAnsi="Tahoma" w:cs="Tahoma"/>
      <w:sz w:val="16"/>
      <w:szCs w:val="16"/>
    </w:rPr>
  </w:style>
  <w:style w:type="paragraph" w:styleId="FootnoteText">
    <w:name w:val="footnote text"/>
    <w:basedOn w:val="Normal"/>
    <w:link w:val="FootnoteTextChar"/>
    <w:uiPriority w:val="99"/>
    <w:unhideWhenUsed/>
    <w:rsid w:val="003058B0"/>
    <w:pPr>
      <w:spacing w:after="0"/>
    </w:pPr>
    <w:rPr>
      <w:sz w:val="20"/>
      <w:szCs w:val="20"/>
    </w:rPr>
  </w:style>
  <w:style w:type="character" w:customStyle="1" w:styleId="FootnoteTextChar">
    <w:name w:val="Footnote Text Char"/>
    <w:basedOn w:val="DefaultParagraphFont"/>
    <w:link w:val="FootnoteText"/>
    <w:uiPriority w:val="99"/>
    <w:rsid w:val="003058B0"/>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3058B0"/>
    <w:rPr>
      <w:vertAlign w:val="superscript"/>
    </w:rPr>
  </w:style>
  <w:style w:type="paragraph" w:styleId="ListParagraph">
    <w:name w:val="List Paragraph"/>
    <w:basedOn w:val="Normal"/>
    <w:uiPriority w:val="34"/>
    <w:qFormat/>
    <w:rsid w:val="003058B0"/>
    <w:pPr>
      <w:spacing w:after="0"/>
      <w:ind w:left="720"/>
      <w:contextualSpacing/>
    </w:pPr>
    <w:rPr>
      <w:rFonts w:eastAsia="Times New Roman"/>
    </w:rPr>
  </w:style>
  <w:style w:type="paragraph" w:styleId="Header">
    <w:name w:val="header"/>
    <w:basedOn w:val="Normal"/>
    <w:link w:val="HeaderChar"/>
    <w:uiPriority w:val="99"/>
    <w:unhideWhenUsed/>
    <w:rsid w:val="003058B0"/>
    <w:pPr>
      <w:tabs>
        <w:tab w:val="center" w:pos="4680"/>
        <w:tab w:val="right" w:pos="9360"/>
      </w:tabs>
      <w:spacing w:after="0"/>
    </w:pPr>
  </w:style>
  <w:style w:type="character" w:customStyle="1" w:styleId="HeaderChar">
    <w:name w:val="Header Char"/>
    <w:basedOn w:val="DefaultParagraphFont"/>
    <w:link w:val="Header"/>
    <w:uiPriority w:val="99"/>
    <w:rsid w:val="003058B0"/>
    <w:rPr>
      <w:rFonts w:ascii="Times New Roman" w:eastAsia="Batang" w:hAnsi="Times New Roman" w:cs="Times New Roman"/>
      <w:sz w:val="24"/>
      <w:szCs w:val="24"/>
    </w:rPr>
  </w:style>
  <w:style w:type="paragraph" w:styleId="Footer">
    <w:name w:val="footer"/>
    <w:basedOn w:val="Normal"/>
    <w:link w:val="FooterChar"/>
    <w:uiPriority w:val="99"/>
    <w:unhideWhenUsed/>
    <w:rsid w:val="003058B0"/>
    <w:pPr>
      <w:tabs>
        <w:tab w:val="center" w:pos="4680"/>
        <w:tab w:val="right" w:pos="9360"/>
      </w:tabs>
      <w:spacing w:after="0"/>
    </w:pPr>
  </w:style>
  <w:style w:type="character" w:customStyle="1" w:styleId="FooterChar">
    <w:name w:val="Footer Char"/>
    <w:basedOn w:val="DefaultParagraphFont"/>
    <w:link w:val="Footer"/>
    <w:uiPriority w:val="99"/>
    <w:rsid w:val="003058B0"/>
    <w:rPr>
      <w:rFonts w:ascii="Times New Roman" w:eastAsia="Batang" w:hAnsi="Times New Roman" w:cs="Times New Roman"/>
      <w:sz w:val="24"/>
      <w:szCs w:val="24"/>
    </w:rPr>
  </w:style>
  <w:style w:type="paragraph" w:styleId="NoSpacing">
    <w:name w:val="No Spacing"/>
    <w:uiPriority w:val="1"/>
    <w:qFormat/>
    <w:rsid w:val="003058B0"/>
    <w:pPr>
      <w:spacing w:after="0" w:line="240" w:lineRule="auto"/>
    </w:pPr>
    <w:rPr>
      <w:rFonts w:ascii="Times New Roman" w:eastAsia="Batang" w:hAnsi="Times New Roman" w:cs="Times New Roman"/>
      <w:sz w:val="24"/>
      <w:szCs w:val="24"/>
    </w:rPr>
  </w:style>
  <w:style w:type="paragraph" w:styleId="Date">
    <w:name w:val="Date"/>
    <w:basedOn w:val="Normal"/>
    <w:next w:val="Normal"/>
    <w:link w:val="DateChar"/>
    <w:uiPriority w:val="99"/>
    <w:semiHidden/>
    <w:unhideWhenUsed/>
    <w:rsid w:val="003058B0"/>
  </w:style>
  <w:style w:type="character" w:customStyle="1" w:styleId="DateChar">
    <w:name w:val="Date Char"/>
    <w:basedOn w:val="DefaultParagraphFont"/>
    <w:link w:val="Date"/>
    <w:uiPriority w:val="99"/>
    <w:semiHidden/>
    <w:rsid w:val="003058B0"/>
    <w:rPr>
      <w:rFonts w:ascii="Times New Roman" w:eastAsia="Batang" w:hAnsi="Times New Roman" w:cs="Times New Roman"/>
      <w:sz w:val="24"/>
      <w:szCs w:val="24"/>
    </w:rPr>
  </w:style>
  <w:style w:type="paragraph" w:styleId="Revision">
    <w:name w:val="Revision"/>
    <w:hidden/>
    <w:uiPriority w:val="99"/>
    <w:semiHidden/>
    <w:rsid w:val="003058B0"/>
    <w:pPr>
      <w:spacing w:after="0" w:line="240" w:lineRule="auto"/>
    </w:pPr>
    <w:rPr>
      <w:rFonts w:ascii="Times New Roman" w:eastAsia="Batang" w:hAnsi="Times New Roman" w:cs="Times New Roman"/>
      <w:sz w:val="24"/>
      <w:szCs w:val="24"/>
    </w:rPr>
  </w:style>
  <w:style w:type="character" w:customStyle="1" w:styleId="im">
    <w:name w:val="im"/>
    <w:basedOn w:val="DefaultParagraphFont"/>
    <w:rsid w:val="003058B0"/>
  </w:style>
  <w:style w:type="character" w:customStyle="1" w:styleId="apple-converted-space">
    <w:name w:val="apple-converted-space"/>
    <w:basedOn w:val="DefaultParagraphFont"/>
    <w:rsid w:val="003058B0"/>
  </w:style>
  <w:style w:type="table" w:customStyle="1" w:styleId="TableGrid1">
    <w:name w:val="Table Grid1"/>
    <w:basedOn w:val="TableNormal"/>
    <w:next w:val="TableGrid"/>
    <w:uiPriority w:val="39"/>
    <w:rsid w:val="003058B0"/>
    <w:pPr>
      <w:spacing w:after="0" w:line="240" w:lineRule="auto"/>
    </w:pPr>
    <w:rPr>
      <w:rFonts w:ascii="Calibri" w:eastAsia="Batang" w:hAnsi="Calibri" w:cs="Times New Roman"/>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58B0"/>
    <w:pPr>
      <w:spacing w:after="0" w:line="240" w:lineRule="auto"/>
    </w:pPr>
    <w:rPr>
      <w:rFonts w:ascii="Times New Roman" w:eastAsia="Batang"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data">
    <w:name w:val="article-header__meta-info-data"/>
    <w:basedOn w:val="DefaultParagraphFont"/>
    <w:rsid w:val="003058B0"/>
  </w:style>
  <w:style w:type="character" w:styleId="Hyperlink">
    <w:name w:val="Hyperlink"/>
    <w:basedOn w:val="DefaultParagraphFont"/>
    <w:uiPriority w:val="99"/>
    <w:unhideWhenUsed/>
    <w:rsid w:val="00D66FED"/>
    <w:rPr>
      <w:color w:val="0000FF"/>
      <w:u w:val="single"/>
    </w:rPr>
  </w:style>
  <w:style w:type="paragraph" w:styleId="EndnoteText">
    <w:name w:val="endnote text"/>
    <w:basedOn w:val="Normal"/>
    <w:link w:val="EndnoteTextChar"/>
    <w:uiPriority w:val="99"/>
    <w:semiHidden/>
    <w:unhideWhenUsed/>
    <w:rsid w:val="00127070"/>
    <w:pPr>
      <w:spacing w:after="0"/>
    </w:pPr>
    <w:rPr>
      <w:sz w:val="20"/>
      <w:szCs w:val="20"/>
    </w:rPr>
  </w:style>
  <w:style w:type="character" w:customStyle="1" w:styleId="EndnoteTextChar">
    <w:name w:val="Endnote Text Char"/>
    <w:basedOn w:val="DefaultParagraphFont"/>
    <w:link w:val="EndnoteText"/>
    <w:uiPriority w:val="99"/>
    <w:semiHidden/>
    <w:rsid w:val="00127070"/>
    <w:rPr>
      <w:rFonts w:ascii="Times New Roman" w:eastAsia="Batang" w:hAnsi="Times New Roman" w:cs="Times New Roman"/>
      <w:sz w:val="20"/>
      <w:szCs w:val="20"/>
    </w:rPr>
  </w:style>
  <w:style w:type="character" w:styleId="EndnoteReference">
    <w:name w:val="endnote reference"/>
    <w:basedOn w:val="DefaultParagraphFont"/>
    <w:uiPriority w:val="99"/>
    <w:semiHidden/>
    <w:unhideWhenUsed/>
    <w:rsid w:val="00127070"/>
    <w:rPr>
      <w:vertAlign w:val="superscript"/>
    </w:rPr>
  </w:style>
  <w:style w:type="character" w:styleId="FollowedHyperlink">
    <w:name w:val="FollowedHyperlink"/>
    <w:basedOn w:val="DefaultParagraphFont"/>
    <w:uiPriority w:val="99"/>
    <w:semiHidden/>
    <w:unhideWhenUsed/>
    <w:rsid w:val="00862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2828">
      <w:bodyDiv w:val="1"/>
      <w:marLeft w:val="0"/>
      <w:marRight w:val="0"/>
      <w:marTop w:val="0"/>
      <w:marBottom w:val="0"/>
      <w:divBdr>
        <w:top w:val="none" w:sz="0" w:space="0" w:color="auto"/>
        <w:left w:val="none" w:sz="0" w:space="0" w:color="auto"/>
        <w:bottom w:val="none" w:sz="0" w:space="0" w:color="auto"/>
        <w:right w:val="none" w:sz="0" w:space="0" w:color="auto"/>
      </w:divBdr>
      <w:divsChild>
        <w:div w:id="875040373">
          <w:marLeft w:val="0"/>
          <w:marRight w:val="0"/>
          <w:marTop w:val="0"/>
          <w:marBottom w:val="0"/>
          <w:divBdr>
            <w:top w:val="none" w:sz="0" w:space="0" w:color="auto"/>
            <w:left w:val="none" w:sz="0" w:space="0" w:color="auto"/>
            <w:bottom w:val="none" w:sz="0" w:space="0" w:color="auto"/>
            <w:right w:val="none" w:sz="0" w:space="0" w:color="auto"/>
          </w:divBdr>
        </w:div>
      </w:divsChild>
    </w:div>
    <w:div w:id="502164482">
      <w:bodyDiv w:val="1"/>
      <w:marLeft w:val="0"/>
      <w:marRight w:val="0"/>
      <w:marTop w:val="0"/>
      <w:marBottom w:val="0"/>
      <w:divBdr>
        <w:top w:val="none" w:sz="0" w:space="0" w:color="auto"/>
        <w:left w:val="none" w:sz="0" w:space="0" w:color="auto"/>
        <w:bottom w:val="none" w:sz="0" w:space="0" w:color="auto"/>
        <w:right w:val="none" w:sz="0" w:space="0" w:color="auto"/>
      </w:divBdr>
    </w:div>
    <w:div w:id="893468503">
      <w:bodyDiv w:val="1"/>
      <w:marLeft w:val="0"/>
      <w:marRight w:val="0"/>
      <w:marTop w:val="0"/>
      <w:marBottom w:val="0"/>
      <w:divBdr>
        <w:top w:val="none" w:sz="0" w:space="0" w:color="auto"/>
        <w:left w:val="none" w:sz="0" w:space="0" w:color="auto"/>
        <w:bottom w:val="none" w:sz="0" w:space="0" w:color="auto"/>
        <w:right w:val="none" w:sz="0" w:space="0" w:color="auto"/>
      </w:divBdr>
      <w:divsChild>
        <w:div w:id="534738130">
          <w:marLeft w:val="0"/>
          <w:marRight w:val="0"/>
          <w:marTop w:val="0"/>
          <w:marBottom w:val="0"/>
          <w:divBdr>
            <w:top w:val="none" w:sz="0" w:space="0" w:color="auto"/>
            <w:left w:val="none" w:sz="0" w:space="0" w:color="auto"/>
            <w:bottom w:val="none" w:sz="0" w:space="0" w:color="auto"/>
            <w:right w:val="none" w:sz="0" w:space="0" w:color="auto"/>
          </w:divBdr>
        </w:div>
      </w:divsChild>
    </w:div>
    <w:div w:id="1256859818">
      <w:bodyDiv w:val="1"/>
      <w:marLeft w:val="0"/>
      <w:marRight w:val="0"/>
      <w:marTop w:val="0"/>
      <w:marBottom w:val="0"/>
      <w:divBdr>
        <w:top w:val="none" w:sz="0" w:space="0" w:color="auto"/>
        <w:left w:val="none" w:sz="0" w:space="0" w:color="auto"/>
        <w:bottom w:val="none" w:sz="0" w:space="0" w:color="auto"/>
        <w:right w:val="none" w:sz="0" w:space="0" w:color="auto"/>
      </w:divBdr>
      <w:divsChild>
        <w:div w:id="1240822457">
          <w:marLeft w:val="0"/>
          <w:marRight w:val="0"/>
          <w:marTop w:val="0"/>
          <w:marBottom w:val="0"/>
          <w:divBdr>
            <w:top w:val="none" w:sz="0" w:space="0" w:color="auto"/>
            <w:left w:val="none" w:sz="0" w:space="0" w:color="auto"/>
            <w:bottom w:val="none" w:sz="0" w:space="0" w:color="auto"/>
            <w:right w:val="none" w:sz="0" w:space="0" w:color="auto"/>
          </w:divBdr>
        </w:div>
      </w:divsChild>
    </w:div>
    <w:div w:id="1323464907">
      <w:bodyDiv w:val="1"/>
      <w:marLeft w:val="0"/>
      <w:marRight w:val="0"/>
      <w:marTop w:val="0"/>
      <w:marBottom w:val="0"/>
      <w:divBdr>
        <w:top w:val="none" w:sz="0" w:space="0" w:color="auto"/>
        <w:left w:val="none" w:sz="0" w:space="0" w:color="auto"/>
        <w:bottom w:val="none" w:sz="0" w:space="0" w:color="auto"/>
        <w:right w:val="none" w:sz="0" w:space="0" w:color="auto"/>
      </w:divBdr>
      <w:divsChild>
        <w:div w:id="1568302816">
          <w:marLeft w:val="0"/>
          <w:marRight w:val="0"/>
          <w:marTop w:val="0"/>
          <w:marBottom w:val="0"/>
          <w:divBdr>
            <w:top w:val="none" w:sz="0" w:space="0" w:color="auto"/>
            <w:left w:val="none" w:sz="0" w:space="0" w:color="auto"/>
            <w:bottom w:val="none" w:sz="0" w:space="0" w:color="auto"/>
            <w:right w:val="none" w:sz="0" w:space="0" w:color="auto"/>
          </w:divBdr>
        </w:div>
      </w:divsChild>
    </w:div>
    <w:div w:id="1373922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340">
          <w:marLeft w:val="0"/>
          <w:marRight w:val="0"/>
          <w:marTop w:val="0"/>
          <w:marBottom w:val="0"/>
          <w:divBdr>
            <w:top w:val="none" w:sz="0" w:space="0" w:color="auto"/>
            <w:left w:val="none" w:sz="0" w:space="0" w:color="auto"/>
            <w:bottom w:val="none" w:sz="0" w:space="0" w:color="auto"/>
            <w:right w:val="none" w:sz="0" w:space="0" w:color="auto"/>
          </w:divBdr>
        </w:div>
      </w:divsChild>
    </w:div>
    <w:div w:id="1648631599">
      <w:bodyDiv w:val="1"/>
      <w:marLeft w:val="0"/>
      <w:marRight w:val="0"/>
      <w:marTop w:val="0"/>
      <w:marBottom w:val="0"/>
      <w:divBdr>
        <w:top w:val="none" w:sz="0" w:space="0" w:color="auto"/>
        <w:left w:val="none" w:sz="0" w:space="0" w:color="auto"/>
        <w:bottom w:val="none" w:sz="0" w:space="0" w:color="auto"/>
        <w:right w:val="none" w:sz="0" w:space="0" w:color="auto"/>
      </w:divBdr>
      <w:divsChild>
        <w:div w:id="1368919560">
          <w:marLeft w:val="0"/>
          <w:marRight w:val="0"/>
          <w:marTop w:val="0"/>
          <w:marBottom w:val="0"/>
          <w:divBdr>
            <w:top w:val="none" w:sz="0" w:space="0" w:color="auto"/>
            <w:left w:val="none" w:sz="0" w:space="0" w:color="auto"/>
            <w:bottom w:val="none" w:sz="0" w:space="0" w:color="auto"/>
            <w:right w:val="none" w:sz="0" w:space="0" w:color="auto"/>
          </w:divBdr>
        </w:div>
      </w:divsChild>
    </w:div>
    <w:div w:id="1844926730">
      <w:bodyDiv w:val="1"/>
      <w:marLeft w:val="0"/>
      <w:marRight w:val="0"/>
      <w:marTop w:val="0"/>
      <w:marBottom w:val="0"/>
      <w:divBdr>
        <w:top w:val="none" w:sz="0" w:space="0" w:color="auto"/>
        <w:left w:val="none" w:sz="0" w:space="0" w:color="auto"/>
        <w:bottom w:val="none" w:sz="0" w:space="0" w:color="auto"/>
        <w:right w:val="none" w:sz="0" w:space="0" w:color="auto"/>
      </w:divBdr>
      <w:divsChild>
        <w:div w:id="100613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A722-FC31-446E-99D0-F85F0C84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7071</Words>
  <Characters>40308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2019-03-24T16:40:00Z</dcterms:created>
  <dcterms:modified xsi:type="dcterms:W3CDTF">2019-03-24T17:49:00Z</dcterms:modified>
</cp:coreProperties>
</file>